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269 vom 13. März 2018</w:t>
      </w:r>
    </w:p>
    <w:p>
      <w:r>
        <w:t>FR Kantonsgericht, 2018-03-13, FR</w:t>
      </w:r>
    </w:p>
    <w:p>
      <w:r>
        <w:rPr>
          <w:b/>
        </w:rPr>
        <w:t xml:space="preserve">Quelle: </w:t>
      </w:r>
      <w:r>
        <w:t>https://mcp.opencaselaw.ch/entscheid/fr_gerichte_605_2017_269</w:t>
      </w:r>
    </w:p>
    <w:p>
      <w:r>
        <w:t>FR: FR_GERICHTE 605 2017 269 du 13 mars 2018</w:t>
      </w:r>
    </w:p>
    <w:p>
      <w:r>
        <w:t>IT: FR_GERICHTE 605 2017 269 del 13 marzo 2018</w:t>
      </w:r>
    </w:p>
    <w:p>
      <w:pPr>
        <w:pStyle w:val="Heading2"/>
      </w:pPr>
      <w:r>
        <w:t>Regeste</w:t>
      </w:r>
    </w:p>
    <w:p>
      <w:r>
        <w:t>Arrêt de la Ie Cour des assurances sociales du Tribunal cantonal | Unfallversicherung</w:t>
      </w:r>
    </w:p>
    <w:p>
      <w:pPr>
        <w:pStyle w:val="Heading2"/>
      </w:pPr>
      <w:r>
        <w:t>Erwägungen</w:t>
      </w:r>
    </w:p>
    <w:p>
      <w:r>
        <w:rPr>
          <w:b/>
        </w:rPr>
        <w:t>E. 21</w:t>
      </w:r>
    </w:p>
    <w:p>
      <w:r>
        <w:t>novembre 1995; MAURER, Schweizerisches Unfallversicherungsrecht, 2e éd., 1989, p. 274); que,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que le traitement doit non seulement être approprié, c'est-à-dire adéquat, mais également économique; que,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que, en présence d’avis médicaux contradictoires, le juge doit apprécier l’ensemble des preuves à disposition et indiquer les motifs pour lesquels il se fonde sur une appréciation plutôt que sur une autre; qu'il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4 de 6 que,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que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l'expert (ATF 125 V 353 consid. 3b/ee); que,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 que, en l'espèce, à l'appui de son refus de prester, la SUVA se prévaut exclusivement de l'avis de son médecin-dentiste conseil, le Dr D.________, qui a rendu ses rapports les 21 décembre 2015, 15 avril 2016, 12 juillet 2016 et 28 août 2017 (dossier SUVA, pièces 22, 29, 33 et 50); que celui-ci ne propose de prendre en charge que les frais liés à seule une prothèse amovible à l'arcade inférieure et à l'arcade supérieure, dès lors que le recourant en portait déjà une à l'arcade inférieure avant l'accident, et estime qu'un unique implant à la maxillaire supérieure permettrait de rendre cette prothèse amovible plus agréable à porter et plus esthétique; qu'il affirme encore que la solution proposée par le dentiste traitant est plus risquée en raison d'abrasions importantes et une inflammation de la gencive; que ces constats et conclusions sont cependant mis en doutes par les pièces du dossier; que, en particulier, le Dr E.________, médecin-dentiste traitant, conteste les conclusions du médecin-dentiste conseil et relève que cette "argumentation n'est pas valable et on ne peut pas exiger d'un patient qui porte un stellite à la mâchoire inférieur qu'après perte dentaire il [puisse] aussi bien porter un stellite au maxillaire supérieur pour réduire les frais de reconstruction dentaire" (dossier SUVA, pièces 17, 30 et 59); qu'il conteste en outre que la pose d'implants soit médicalement contre-indiquée; qu'il souligne enfin la présence de contradictions dans le raisonnement du médecin-dentiste conseil, qui affirme qu'il y a une situation à risques pour des implants dentaires mais qui propose tout de même la pose d'un implant au maxillaire supérieur; qu'aucune autre pièce au dossier ne permet de trancher cette controverse entre les deux médecins-dentistes;</w:t>
      </w:r>
    </w:p>
    <w:p>
      <w:r>
        <w:t>Tribunal cantonal TC Page 5 de 6 que l'on se trouve ainsi en présence de deux opinions médicales circonstanciées émanant de spécialistes et aboutissant à des conclusions opposées sur une question médicale complexe nécessitant des connaissances spécifiques; que, dans ces circonstances, il est difficile de se prononcer en faveur de l'une ou de l'autre des solutions proposées, l'avis du médecin-dentiste de la SUVA ne sachant être décisif; que l'instruction à laquelle a procédé la SUVA était ainsi entachée d'un doute; que, à cet égard, une jurisprudence récente du TF paraît préconiser qu'une expertise soit systématiquement diligentée en présence d'un "doute à tout le moins léger" quant à la pertinence de l'avis du médecin de la SUVA (cf. arrêts TF 8C_370/2017 du 15 janvier 2018 consid. 3.3.3; 8C_586/2017 du 20 décembre 2017 consid. 5.3; 8C_796/2016 du 14 juin 2017 consid. 4.4); que, même si cette jurisprudence pourrait remettre en cause le principe de la vraisemblance prépondérante ici applicable, on ne saurait l'ignorer; qu'il sied dès lors d'annuler la décision sur opposition ici litigieuse et de renvoyer le dossier à l'autorité intimée pour complément d'instruction afin de déterminer le traitement médical dentaire approprié à prendre en charge; que, à côté de cela, le Dr D.________, manifestement induit en erreur, a proposé la pose d'un implant au niveau de la dent 13 alors que celle-ci n'avait pas été atteinte lors de l'accident (cf. dossier SUVA, pièce 17, 18, 33 et 50), cette inadvertance du médecin-dentiste conseil renforçant par ailleurs le doute quant à la valeur probante de ses conclusions; que, bien que ce dernier spécialiste ait admis "s'être trompé au sujet de l'implant 13", la SUVA n'en a nullement tenu compte dans le dispositif de sa décision et de sa décision sur opposition et a maintenu – s'appuyant sur une motivation peu convaincante – la prise en charge d'un implant limité à la "région 13"; que le dispositif de la décision devrait dès lors également être modifiée sur ce point; que, enfin, en raison de l'admission du recours, il n'apparaît pas nécessaire de se pencher sur la question de la violation du droit d'être entendu; que, selon le principe de la gratuité de la procédure valant en la matière, il n'est pas perçu de frais de justice; qu'ayant obtenu gain de cause, le recourant a droit à des dépens pour ses frais de défense; qu'invité à produire sa liste de frais, le mandataire du recourant n'y a pas donné suite; que l'indemnité de dépens est dès lors fixée par forfait à CHF 2'000.-, débours compris, ce qui permet de tenir non seulement compte du travail strictement nécessaire, mais également de la difficulté toute relative des opérations à effectuer dans ce genre d’affaire; qu'à cela s’ajoute encore une TVA de 8% (trois quarts de la somme) et de 7.7% (un quart de la somme) pour un montant de CHF 158.50, l'essentiel des opérations ayant été manifestement effectuées avant le 1er janvier 2018;</w:t>
      </w:r>
    </w:p>
    <w:p>
      <w:r>
        <w:t>Tribunal cantonal TC Page 6 de 6 que cette indemnité de partie, d'un total de CHF 2'158.50, est mise à la charge de l'autorité intimée qui succombe; la Cour arrête: I. Le recours est admis. Partant, la décision sur opposition est annulée et la cause renvoyée à l'autorité intimée pour instruction complémentaire, ceci afin de déterminer le traitement médical dentaire approprié qu'il y aura lieu de prendre en charge. II. Il n'est pas perçu de frais de justice. III. Il est alloué au recourant une indemnité de partie, fixée à CHF 2'158.50, dont CHF 158.50 au titre de la TVA (7.7% et 8%),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