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220 vom 27. August 2018</w:t>
      </w:r>
    </w:p>
    <w:p>
      <w:r>
        <w:t>FR Kantonsgericht, 2018-08-27, FR</w:t>
      </w:r>
    </w:p>
    <w:p>
      <w:r>
        <w:rPr>
          <w:b/>
        </w:rPr>
        <w:t xml:space="preserve">Quelle: </w:t>
      </w:r>
      <w:r>
        <w:t>https://mcp.opencaselaw.ch/entscheid/fr_gerichte_605_2017_220</w:t>
      </w:r>
    </w:p>
    <w:p>
      <w:r>
        <w:t>FR: FR_GERICHTE 605 2017 220 du 27 août 2018</w:t>
      </w:r>
    </w:p>
    <w:p>
      <w:r>
        <w:t>IT: FR_GERICHTE 605 2017 220 del 27 agosto 2018</w:t>
      </w:r>
    </w:p>
    <w:p>
      <w:pPr>
        <w:pStyle w:val="Heading2"/>
      </w:pPr>
      <w:r>
        <w:t>Regeste</w:t>
      </w:r>
    </w:p>
    <w:p>
      <w:r>
        <w:t>Arrêt de la Ie Cour des assurances sociales du Tribunal cantonal | Unfallversicherung</w:t>
      </w:r>
    </w:p>
    <w:p>
      <w:pPr>
        <w:pStyle w:val="Heading2"/>
      </w:pPr>
      <w:r>
        <w:t>Erwägungen</w:t>
      </w:r>
    </w:p>
    <w:p>
      <w:r>
        <w:rPr>
          <w:b/>
        </w:rPr>
        <w:t>E. 29</w:t>
      </w:r>
    </w:p>
    <w:p>
      <w:r>
        <w:t>septembre 2017. Il conclut à l'annulation de la décision attaquée et à ce que la décision soit réformée en ce sens qu'il lui est reconnu le droit à une rente de la SUVA correspondant à un taux de 30% ainsi que le droit à une indemnité pour atteinte à l'intégrité correspondant à un taux de 15%. A l'appui de son recours, il soutient mettre pleinement en œuvre sa capacité de travail en ne travaillant qu'à 70%. Il affirme que l'activité qu'il exerce actuellement correspond à son véritable taux de capacité de travail. C'est la raison pour laquelle il demande le droit à une rente d'invalidité de 30%. Concernant l'indemnité pour atteinte à l'intégrité, le recourant considère qu'elle est trop basse, à peine plus élevée que celle octroyée pour la perte d'une phalange alors que les séquelles sur la vie professionnelle sont nettement plus importantes. C'est la raison pour laquelle il demande le droit à une indemnité pour atteinte à l'intégrité correspondant à un taux de 15%. Dans ses observations du 30 janvier 2018, la SUVA conclut au rejet du recours. Elle indique que les conclusions de la Dresse F.________, médecin d'arrondissement de la SUVA, ont entière valeur probante s'agissant de l'exigibilité du recourant. Elle précise avoir correctement calculé le revenu d'invalide en se basant sur la moyenne des salaires moyens de cinq descriptions de poste de travail (DPT). Concernant l'indemnité pour atteinte à l'intégrité, elle relève que le recourant, lequel estime que le taux d'atteinte à l'intégrité retenu serait trop bas, n'appuie toutefois son</w:t>
      </w:r>
    </w:p>
    <w:p>
      <w:r>
        <w:t>Tribunal cantonal TC Page 3 de 10 argumentation sur aucun élément médical qui serait de nature à remettre en cause l'appréciation émise par la médecin d'arrondissement de la SUVA. Ainsi, les conclusions de cette dernière ont entière valeur probante. Dans ses contre-observations du 28 mars 2018, le recourant maintient son recours et fait valoir que les conclusions retenues par la Dresse F.________ n'ont pas valeur probante, l'entretien de ce médecin n'ayant duré que 15 minutes alors qu'il ne travaillait qu'à 50% à ce moment-là. Il produit un certificat médical du Dr G.________, spécialiste FMH en médecine interne générale, lequel relève que, suite à son accident de voiture, il a des séquelles au niveau du bassin et de la hanche gauche qui est limitée en flexion. La rotation interne est impossible. Ce médecin confirme que la capacité de travail est uniquement de 70% dans une activité adaptée, comme celle de chauffeur-livreur exercée actuellement par le recourant. Le recourant confirme ses conclusions s'agissant du montant de l'IPAI octroyée.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Est d'abord litigieux, le droit à la rente du recourant, étant précisé qu'il n'est pas contesté que les plaintes du recourant sont en lien de causalité avec l'accident du 4 novembre 2015 et que son état de santé s'est, depuis lors, stabilisé. 2.1.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2.2 Selon l'art. 18 al. 1 LAA, si l'assuré est invalide à 10% au moins par suite d'un accident, il a droit à une rente d'invalidité. Aux termes de l'art. 6 al. 1 LAA, les prestations d'assurance sont allouées en cas d'accident professionnel, d'accident non professionnel et de maladie professionnelle.</w:t>
      </w:r>
    </w:p>
    <w:p>
      <w:r>
        <w:t>Tribunal cantonal TC Page 4 de 10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2.3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2.4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cette dernière méthode,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éventuels objections de l'assuré sur le choix et sur la représentativité des DPT dans le cas concret doivent être soulevées, en principe, durant la phase d'opposition. Lorsque le revenu d'invalide est déterminé sur la base des DPT, une réduction de salaire, eu égard au système même des DPT, n'est ni justifié, ni admissible (ATF 129 V 472). En l'absence de DPT recueillies conformément aux exigences posées par la jurisprudence, il y a lieu de se fonder sur les statistiques de l'OFS (cf. arrêt TF U 81/2005 du 14 juin 2006 consid. 3.2). 3.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w:t>
      </w:r>
    </w:p>
    <w:p>
      <w:r>
        <w:t>Tribunal cantonal TC Page 5 de 10 3.1.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3.2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remettre en cause une expertise ordonnée par l'administration ou un juge et procéder à de nouvelles investigations du seul fait qu'un ou plusieurs médecins traitants ont une opinion contradictoire (arrêt TF 9C_201/2007 du 29 janvier 2008). 3.3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10 4. Est tout d'abord litigieuse l'estimation faite de la capacité de travail du recourant à partir du 31 août 2017. 4.1 Dans son rapport médical du 12 janvier 2016, le Dr H.________, spécialiste FMH en médecine interne générale, pose le diagnostic de polytraumatisme sur AVP le 3 novembre 2015 avec fracture du col fémoral et pertrochantérienne du fémur proximal gauche, fracture du bassin par compression latérale (branche ilio-pubienne et sacro-iliaque) gauche, fracture de la tête du péroné gauche, lésion traumatique de la rate de grade I. Il explique que l'assuré est hospitalisé dans leur service de réadaptation après son AVP pour une rééducation à la marche. Dans un premier temps, il présente une limitation de charge à 5 kg sur son membre inférieur gauche en raison de l'intervention. Dans le rapport de consultation ambulatoire du CHUV du 20 juillet 2016, il est indiqué qu'il a reçu sa lettre de licenciement pour le 31 août 2016 et qu'il ne peut ni porter des charges de plus de 15 kg ni s'accroupir. Dans son rapport médical du 13 octobre 2016, le Dr I.________, spécialiste FMH en chirurgie orthopédique, indique que lors de la dernière consultation du 31 août 2016, l'évolution était favorable malgré le fait que le patient avait de la difficulté à s'accroupir et à porter des charges de plus de 20 kg. Il décide de la poursuite de l'arrêt de travail à 50% avec ports de charges maximales de 20 kg. Dans son rapport médical du 13 mars 2017, le médecin d'arrondissement de la SUVA, la Dresse F.________ admet que le recourant n'est plus en mesure d'exercer son ancienne activité, mais demeure apte à 100% (horaire et rendement) dans un travail adapté, respectant les limitations suivantes: travail principalement assis avec la possibilité de changer la position librement et pas de ports de charges supérieur à 10 kg. Elle précise qu'une intervention est prévue le 24 mars 2017 chez le Dr J.________, spécialiste FMH en chirurgie orthopédique, pour ablation d'un ostéophyte de la hanche gauche. Cette opération (ablation d'un os) ne modifiera pas les limitations d'exigibilité qu'elle a formulées. Suite à cette intervention, une incapacité de travail de 4 à 6 semaines est justifiée. Dans son rapport médical du 20 avril 2017, le Dr J.________ indique que l'on est à un mois de l'ablation d'une calcification au niveau de la hanche gauche et que l'évolution est tout à fait favorable. Le patient signale qu'il peut refaire des mouvements qu'il n'arrivait pas à faire avant, en raison de la gêne occasionnée par cette calcification. Selon l'avis médical du médecin d'arrondissement du 29 mai 2017, les limitations d'exigibilités formulées en date du 13 mars 2017 sont à nouveau d'actualité (pièce 170 dossier SUVA). Dans un rapport médical du 14 octobre 2017, le Dr G.________, médecin traitant de l'assuré, indique que, suite à l'accident de voiture de l'assuré, celui-ci a des séquelles au niveau du bassin et de la hanche gauche. Cette dernière est limitée en flexion et la rotation interne est impossible. Suivant la sollicitation demandée à son bassin et à sa hanche gauche, la douleur s'intensifie et l'oblige alors à s'arrêter momentanément. Les déplacements rapides et latéraux ou en rotation, de même que le port de charges de plus de 15 kg provoquent une exacerbation des douleurs. L'évolution logique de cette pathologie sera la mise en place d'une prothèse de hanche dès que le</w:t>
      </w:r>
    </w:p>
    <w:p>
      <w:r>
        <w:t>Tribunal cantonal TC Page 7 de 10 moment sera venu. Il estime sa capacité de travail à 70% maximum dans un travail adapté tel que chauffeur-livreur comme il le pratique actuellement. 4.2 Le recourant conteste l'exigibilité médicale ainsi que les salaires retenus par la SUVA. Cette dernière a considéré que la capacité résiduelle de travail du recourant est de 100% dans une activité légère adaptée dans différents secteurs de l'industrie et elle s'est basée sur les DPT pour affirmer qu'il peut réaliser un salaire résiduel de 4'789 CHF et que, par rapport à son salaire antérieur de 5'092 CHF, sa perte de salaire ne serait que de 6%, soit insuffisante pour ouvrir le droit à une rente d'invalidité. Il indique qu'il a retrouvé un travail chez E.________ Ldt à 70% et il estime qu'il n'est pas envisageable qu'il puisse augmenter son taux d'activité. Il conclut ainsi que la SUVA lui reconnaisse une rente d'invalidité de 30%. Les griefs du recourant sont de nature à mettre en cause la décision attaquée. Il ressort du rapport médical de la Dresse F.________ que, suite à l'accident du 4 novembre 2015, le recourant bénéficie d'une capacité de travail entière dans une activité adaptée permettant les changements de position assis debout et sans charges supérieures à 10 kg. Dans le dossier du recourant, l'on trouve un autre rapport médical qui remet en cause les conclusions du médecin d'arrondissement de la SUVA et qui appuie la thèse du recourant. Il s'agit du rapport médical du Dr G.________, lequel estime que la capacité de travail du recourant est de 70% au maximum, en expliquant les raisons de cette limitation. Dans ces circonstances, en présence de deux opinions médicales divergentes, il est difficile de se prononcer en faveur de l'une ou de l'autre et l'avis du médecin d'arrondissement de la SUVA ne saurait être considéré comme décisif, de sorte que l'on doit admettre que l'instruction à laquelle a procédé la SUVA était à tout le moins entachée d'un doute. À cet égard, au vu de la jurisprudence récente du TF, qui paraît préconiser qu'une expertise soit systématiquement diligentée en présence d'un « doute à tout le moins léger » quant à la pertinence de l'avis du médecin de la SUVA (cf. arrêts TF 8C_370/2017 du 15 janvier 2018 consid. 3.3.3; 8C_586/2017 du 20 décembre 2017 consid. 5.3; 8C_796/2016 du 14 juin 2017 consid. 4.4), et même si cette jurisprudence pourrait remettre en cause le principe de la vraisemblance prépondérante ici applicable, on ne saurait l'ignorer. Il sied dès lors d'annuler la décision sur opposition litigieuse et de renvoyer le dossier à l'autorité intimée pour complément d'instruction, confiée à un médecin spécialiste externe, afin de départager les opinions des Drs F.________ et G.________. 5. Est encore litigieux le point de savoir si le recourant peut prétendre à une indemnité pour atteinte à l'intégrité d'un taux supérieur à 5%. 5.1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w:t>
      </w:r>
    </w:p>
    <w:p>
      <w:r>
        <w:t>Tribunal cantonal TC Page 8 de 10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5.2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5.3 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w:t>
      </w:r>
    </w:p>
    <w:p>
      <w:r>
        <w:t>Tribunal cantonal TC Page 9 de 10 fréquentes et caractéristiques, évaluées en pour cent. Ce barème – reconnu conforme à la loi – ne constitue pas une énumération exhaustive (ATF 124 V 29 consid. 1b, 209 consid. 4a/bb, 113 V 218 consid. 2a). Il représente une "règle générale" (ch.1 al. 1 de l'annexe). Pour les atteintes à l'intégrité qui sont spéciales et qui ne figurent pas dans la liste, le barème est appliqué par analogie, compte tenu de la gravité de l'atteinte (ch. 1 al. 2 de l'annexe). Dans ce cadre, la division médicale de la CNA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 6. 6.1 Dans la décision litigieuse, l'autorité intimée a fixé à 5% le taux de l'indemnité pour atteinte à l'intégrité au vu de la limitation de la mobilité et de la baisse de force au niveau du fémur en correspondance à une coxarthrose à évaluer dans la partie inférieure d'une coxarthrose modérée. En cela, elle fait référence à la proposition de la Dresse F.________. Ce médecin précise qu'une révision au niveau de la hanche G pour enlever un ostéophyte ou une AMO ne changerait pas cette estimation. Quant au recourant, il estime que le taux de l'indemnité pour atteinte à l'intégrité est trop bas et que, compte tenu des atteintes qu'il a subies, un taux de 15 % paraît plus conforme aux normes. 6.2 En l'espèce, sur le vu de ce qui précède, rappelons à titre liminaire que cette problématique doit être traitée uniquement sur le plan médical. Pour calculer le taux de l'indemnité pour atteinte à l'intégrité, la SUVA s'est correctement référée à la table 5 concernant les atteintes à l'intégrité, soit l'atteinte à l'intégrité résultant d'arthroses. Sur cette table 5, pour une atteinte fémoro-patellaire et une arthrose moyenne, l'indemnité pour atteinte à l'intégrité se situe entre 5-10%. Ainsi, le taux de l'indemnité pour atteinte à l'intégrité fixé par le médecin d'arrondissement se situe dans la fourchette énoncée sur la table 5 pour une atteinte au fémur. Il a ainsi été correctement évalué et ne saurait être remis en question. Le fait que le médecin d'arrondissement ait erronément indiqué dans son évaluation que la limitation de la mobilité et de la baisse de la force devaient être mis en correspondance à une coxarthrose modérée ne change rien à l'évaluation de cette atteinte à l'intégrité, le recourant ne sachant se prévaloir des séquelles d'une autre atteinte que celle diagnostiquée dans son propre cas: même si sa fracture est située assez haut sur le fémur, elle n'est pas précisément localisée au niveau de la hanche. 7. Ayant partiellement obtenu gain de cause, le recourant a droit à des dépens proportionnés pour ses frais de défense. Bien qu'invité à fournir sa liste de frais, le mandataire du recourant ne l'a pas produite si bien que les dépens seront fixés de manière forfaitaire.</w:t>
      </w:r>
    </w:p>
    <w:p>
      <w:r>
        <w:t>Tribunal cantonal TC Page 10 de 10 En application des art. 137 al. 1 et 3 du Code du 23 mai 1991 de procédure et de juridiction administrative (CPJA; RSF 150.1), 8 al. 1 et 11 al. 2 du Tarif du 17 décembre 1991 des frais de procédure et des indemnités en matière de juridiction administrative (Tarif/JA; RSF 150.12), les honoraires seront fixés sur une base forfaitaire eu égard aux seules opérations strictement nécessaires au vu de la difficulté et de l'importance de l'affaire. L'indemnité forfaitaire est fixée à CHF 1'000.-, débours compris, plus CHF 77.- au titre de la TVA à 7,7%, soit à un total de CHF 1'077.-, indemnité intégralement mise à la charge de la SUVA. la Cour arrête : I. Le recours est partiellement admis. Partant, la décision sur opposition est annulée et la cause renvoyée à l'autorité intimée pour instruction complémentaire dans le sens des considérants. II. Il n'est pas perçu de frais de justice. III. Il est alloué au recourant une indemnité de partie, fixée à CHF 1'077.-, dont CHF 77.- au titre de la TVA à 7,7%,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août 2018/mfa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