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202 vom 2. Juli 2018</w:t>
      </w:r>
    </w:p>
    <w:p>
      <w:r>
        <w:t>FR Kantonsgericht, 2018-07-02, FR</w:t>
      </w:r>
    </w:p>
    <w:p>
      <w:r>
        <w:rPr>
          <w:b/>
        </w:rPr>
        <w:t xml:space="preserve">Quelle: </w:t>
      </w:r>
      <w:r>
        <w:t>https://mcp.opencaselaw.ch/entscheid/fr_gerichte_605_2017_202</w:t>
      </w:r>
    </w:p>
    <w:p>
      <w:r>
        <w:t>FR: FR_GERICHTE 605 2017 202 du 2 juillet 2018</w:t>
      </w:r>
    </w:p>
    <w:p>
      <w:r>
        <w:t>IT: FR_GERICHTE 605 2017 202 del 2 luglio 2018</w:t>
      </w:r>
    </w:p>
    <w:p>
      <w:pPr>
        <w:pStyle w:val="Heading2"/>
      </w:pPr>
      <w:r>
        <w:t>Regeste</w:t>
      </w:r>
    </w:p>
    <w:p>
      <w:r>
        <w:t>Arrêt de la Ie Cour des assurances sociales du Tribunal cantonal | Unfallversicherung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la recourante étant, en tant qu'assureur-maladie, directement atteinte par la décision querellée et ayant dès lors un intérêt digne de protection à ce que celle-ci soit, cas échéant, annulée ou modifiée.</w:t>
      </w:r>
    </w:p>
    <w:p>
      <w:r>
        <w:rPr>
          <w:b/>
        </w:rPr>
        <w:t>E. 2.1</w:t>
      </w:r>
    </w:p>
    <w:p>
      <w:r>
        <w:t>Selon l'art. 6 al. 1 de la loi du 20 mars 1981 sur l'assurance-accidents (LAA; RS 832.20), les prestations d'assurance sont allouées en cas d'accident professionnel, d'accident non professionnel et de maladie professionnelle. Selon l'art. 4 al. 1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w:t>
      </w:r>
    </w:p>
    <w:p>
      <w:r>
        <w:rPr>
          <w:b/>
        </w:rPr>
        <w:t>E. 2.2</w:t>
      </w:r>
    </w:p>
    <w:p>
      <w:r>
        <w:t>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(cf. art. 4 LPGA). Il suffit que l'un d'entre eux fasse défaut pour que l'événement ne puisse pas être qualifié d'accident (ATF 129 V 402 consid. 2.1; 122 V 230 consid. 1 et les références citées).</w:t>
      </w:r>
    </w:p>
    <w:p>
      <w:r>
        <w:rPr>
          <w:b/>
        </w:rPr>
        <w:t>E. 2.3</w:t>
      </w:r>
    </w:p>
    <w:p>
      <w:r>
        <w:t>En particulier, l'exigence d'un facteur dommageable extérieur est donnée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de l'accomplissement d'un mouvement violent ou en étant lourdement chargé, ou encore d'un changement de position corporelle de manière incontrôlée sous l'influence de phénomènes extérieurs (ATF 129 V 471 consid. 4.3). En revanche, les lésions ne sont pas prises en considération lorsqu'elles surviennent à la suite de gestes quotidiens accomplis sans qu'interfère un phénomène extérieur reconnaissable.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(arrêt TF U 96/05 du 20 mai 2006 consid. 2.2).</w:t>
      </w:r>
    </w:p>
    <w:p>
      <w:r>
        <w:rPr>
          <w:b/>
        </w:rPr>
        <w:t>E. 2.4</w:t>
      </w:r>
    </w:p>
    <w:p>
      <w:r>
        <w:t>Quant au caractère extraordinaire de l'atteinte, il résulte de la définition même de l'accident que celui-ci ne concerne pas les effets du facteur extérieur, mais seulement ce facteur lui-même.</w:t>
      </w:r>
    </w:p>
    <w:p>
      <w:r>
        <w:t>Tribunal cantonal TC Page 4 de 9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(arrêts TF 8C_292/2014 du 18 août 2014 consid. 5.1; 8C_36/2013 du 14 janvier 2014 consid. 3; 8C_316/2013 du 10 février 2014 consid. 4.3.2; 8C_767/2012 du 18 juillet 2013 consid. 3.1; ATF 129 V 402 consid. 2.1). Il faut examiner de cas en cas si l'effort doit être considéré comme extraordinaire, en tenant compte de la constitution physique et des habitudes professionnelles ou autres, de l'intéressé (arrêt TF 8C_292/2014 du 18 août 2014 consid. 5.1 et la référence citée).</w:t>
      </w:r>
    </w:p>
    <w:p>
      <w:r>
        <w:rPr>
          <w:b/>
        </w:rPr>
        <w:t>E. 3</w:t>
      </w:r>
    </w:p>
    <w:p>
      <w:r>
        <w:t>Aux termes de l'art. 6 al. 2 LAA, dans sa version en vigueur jusqu'au 31 décembre 2016 (ci-après: aLAA, applicable en l'espèce compte tenu de la date de l'accident, conformément à l'alinéa 1 des dispositions transitoires relatives à la modification du 25 septembre 2015 de la LAA), le Conseil fédéral peut inclure dans l'assurance des lésions corporelles qui sont semblables aux conséquences d'un accident.</w:t>
      </w:r>
    </w:p>
    <w:p>
      <w:r>
        <w:rPr>
          <w:b/>
        </w:rPr>
        <w:t>E. 3.1</w:t>
      </w:r>
    </w:p>
    <w:p>
      <w:r>
        <w:t>En vertu de cette délégation de compétence, il a édicté l'art. 9 al. 2 de l'ordonnance du 20 décembre 1982 sur l'assurance-accidents (OLAA; RS 832.202), dans sa version en vigueur jusqu'au 31 décembre 2016 (ci-après: aOLAA),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La liste exhaustive (cf. ATF 116 V 136 consid. 4a; 116 V 145 consid. 2b) de l'art. 9 al. 2 aOLAA mentionne les fractures (let. a); les déboîtements d'articulations (let. b); les déchirures du ménisque (let. c); les déchirures de muscles (let. d); les élongations de muscles (let. e); les déchirures de tendons (let. f); les lésions de ligaments (let. g); les lésions du tympan (let. h).</w:t>
      </w:r>
    </w:p>
    <w:p>
      <w:r>
        <w:rPr>
          <w:b/>
        </w:rPr>
        <w:t>E. 3.2</w:t>
      </w:r>
    </w:p>
    <w:p>
      <w:r>
        <w:t>La notion de lésion assimilée à un accident a pour but d'éviter, au profit de l'assuré, la distinction souvent difficile entre maladie et accident. Aussi, les assureurs-accidents LAA doivent- ils assumer un risque qui, en raison de la distinction précitée, devrait en principe être couvert par l'assurance-maladie. Cependant, la jurisprudence (ATF 139 V 327; 129 V 466) a précisé les conditions d'octroi des prestations en cas de lésion corporelle assimilée à un accident. C'est ainsi qu'à l'exception du caractère "extraordinaire" de la cause extérieure, toutes les autres conditions constitutives de la notion d'accident – dont, particulièrement, celui d'un facteur dommageable extérieur – doivent être réalisées (cf. art. 4 LPGA). A cette condition, les atteintes à la santé mentionnées à l'art. 9 al. 2 let. b à h aOLAA devraient être considérées comme des atteintes assimilées à un accident même si elles sont imputables, en tout ou partie, à une maladie ou à des phénomènes dégénératifs (cf. ATF 129 V 466; 123 V 43 consid. 2b; 116 V 145 consid. 2c; 114 V 298 consid. 3c). Dans sa nouvelle formulation, l'art. 6 al. 2 LAA fait abstraction de l’existence d’une cause extérieure. Ainsi, désormais, en cas de lésion corporelle figurant dans la liste, il y a présomption que l’on est en présence d’une lésion semblable aux conséquences d’un accident, qui doit être prise en charge par l’assureur-accidents. Celui-ci pourra toutefois se libérer de son obligation s’il</w:t>
      </w:r>
    </w:p>
    <w:p>
      <w:r>
        <w:t>Tribunal cantonal TC Page 5 de 9 apporte la preuve que la lésion est manifestement due à l’usure ou à une maladie (cf. Conseil fédéral, Message du 30 mai 2008 relatif à la modification de la loi fédérale sur l’assurance- accidents, FF 2008 p. 4893). Cette disposition n'est cependant applicable qu'aux accidents survenus après le 1er janvier 2017, soit après l'entrée en vigueur de la modification du 25 septembre 2015 (alinéa 1 des dispositions transitoires relatives à la modification du 25 septembre 2015 de la LAA).</w:t>
      </w:r>
    </w:p>
    <w:p>
      <w:r>
        <w:rPr>
          <w:b/>
        </w:rPr>
        <w:t>E. 4</w:t>
      </w:r>
    </w:p>
    <w:p>
      <w:r>
        <w:t>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w:t>
      </w:r>
    </w:p>
    <w:p>
      <w:r>
        <w:rPr>
          <w:b/>
        </w:rPr>
        <w:t>E. 4.1</w:t>
      </w:r>
    </w:p>
    <w:p>
      <w:r>
        <w:t>En matière d'appréciation des preuves, le juge doit examiner objectivement tous les documents à disposition, quelle que soit leur provenance, puis décider s'ils permettent de porter un jugement valable sur le droit litigieux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w:t>
      </w:r>
    </w:p>
    <w:p>
      <w:r>
        <w:t>Tribunal cantonal TC Page 6 de 9 cause à l'organe de l'assurance pour qu'il mette en œuvre une expertise dans le cadre de la procédure prévue par l'art. 44 LPGA (ATF 135 V 465 consid. 4.5 et 4.6).</w:t>
      </w:r>
    </w:p>
    <w:p>
      <w:r>
        <w:rPr>
          <w:b/>
        </w:rPr>
        <w:t>E. 4.2</w:t>
      </w:r>
    </w:p>
    <w:p>
      <w:r>
        <w:t>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Enfin,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(arrêts TF 8C_788/2012 du 17 juillet 2013 consid. 4; 8C_184/2012 du 21 février 2013 consid. 4; 8C_922/2011 du 19 juin 2012 consid. 6.1 et les références citées).</w:t>
      </w:r>
    </w:p>
    <w:p>
      <w:r>
        <w:rPr>
          <w:b/>
        </w:rPr>
        <w:t>E. 5</w:t>
      </w:r>
    </w:p>
    <w:p>
      <w:r>
        <w:t>En l'occurrence, le recourant souffre d'une atteinte au ligament croisé antérieur gauche, soit une lésion entrant dans la liste exhaustive des lésions corporelles assimilées à un accident au sens de l'art. 9 al. 2 let. g aOLAA. Cependant, l'autorité intimée conteste l'application de cette disposition, affirmant que l'exigence d'un facteur dommageable extérieur n'est pas donnée, un saut pratiqué par un danseur n'étant pas un mouvement inhabituel. Cette exigence, abandonnée récemment par la loi, n'en demeure pas moins applicable au cas d'espèce, l'événement étant survenu en 2016. Cela ayant été précisé, qu'en est-il?</w:t>
      </w:r>
    </w:p>
    <w:p>
      <w:r>
        <w:rPr>
          <w:b/>
        </w:rPr>
        <w:t>E. 5.1</w:t>
      </w:r>
    </w:p>
    <w:p>
      <w:r>
        <w:t>Dans la déclaration de sinistre du 16 juin 2016, il était indiqué que "lors d'un cours de danse, [le recourant] a été déséquilibré et a effectué une mauvaise réception" (bordereau observations, pièce C1). Sur demande de l'assurance, le recourant a précisé que, "lors d'une répétition générale pour le spectacle de danse de l'école où je suis des cours régulièrement (1-2 jours/se[maine]), j'ai effectué un mouvement de saut que j'avais déjà pratiqué et répété à plusieurs reprises, depuis le début des répétitions en février. Lors de la réception de ce saut, je me suis retrouvé déséquilibré en voulant me rattraper". Soutenant que "cette activité s'est déroulée dans des conditions tout à fait normales", le recourant insiste sur l'absence de "choc, glissade ou chute" à l'exception du fait qu'il s'est "retrouvé à terre, après que le genou ait lâché" (courrier du 4 juillet 2016, bordereau observations, pièce C2). Cette version des événements ne sera pas modifiée par la suite. Elle n'est pas contestée par l'autorité intimée, laquelle en fait pleine mention dans le cadre de la décision sur opposition litigieuse. Des déclarations du recourant, l'on retient donc que, dans le cadre d'une activité sportive habituelle, il s'est trouvé en déséquilibre après un saut et a effectué une mauvaise réception. Le</w:t>
      </w:r>
    </w:p>
    <w:p>
      <w:r>
        <w:t>Tribunal cantonal TC Page 7 de 9 déroulement et la réception du saut, qui n'était pas pratiqué pour la première fois, n'avaient pas été interrompus par un événement extérieur tel qu'un choc, une glissade ou une chute.</w:t>
      </w:r>
    </w:p>
    <w:p>
      <w:r>
        <w:rPr>
          <w:b/>
        </w:rPr>
        <w:t>E. 5.2</w:t>
      </w:r>
    </w:p>
    <w:p>
      <w:r>
        <w:t>Or, la réception à la suite d'un saut doit être considérée comme un facteur dommageable extérieur en présence du risque accru de lésions lié au déséquilibre. Ce déséquilibre a justement fait que la réception ne s'est pas déroulée de la manière prévue. En outre, la sollicitation du corps liée au mouvement de saut/réception dans le cadre d'un cours de danse apparaît plus élevée que la normale du point de vue physiologique. Ce mouvement, qui dépasse ce qui est normalement maîtrisé d'un point de vue physiologique, force à reconnaître qu'il existe un facteur dommageable extérieur. C'est, en particulier, ce qu'a retenu le Tribunal fédéral dans des sports tels que la danse classique, le squat-jumping, l'autodéfense ou le saut alterné sur une seule jambe lors d'un entraînement de fitness (arrêt TF 8C_155 /2017 du 22 mai 2017 consid. 6.2 et les références).</w:t>
      </w:r>
    </w:p>
    <w:p>
      <w:r>
        <w:rPr>
          <w:b/>
        </w:rPr>
        <w:t>E. 6</w:t>
      </w:r>
    </w:p>
    <w:p>
      <w:r>
        <w:t>L'exigence du facteur dommageable extérieur étant remplie, il reste à examiner si la lésion litigieuse, qui figure sur la liste des atteintes assimilables à un accident, a été favorisée par des phénomènes dégénératifs ou des complications (rechutes) d'un accident plus ancien, n'engageant pas la responsabilité de l'assureur-accidents intimé.</w:t>
      </w:r>
    </w:p>
    <w:p>
      <w:r>
        <w:rPr>
          <w:b/>
        </w:rPr>
        <w:t>E. 6.1</w:t>
      </w:r>
    </w:p>
    <w:p>
      <w:r>
        <w:t>Ce dernier se fonde sur l'avis de son médecin-conseil, le Dr E.________, spécialiste en chirurgie orthopédique et traumatologie de l'appareil locomoteur. Celui-ci estime que le présent cas correspond "à un giving way sur insuffisance chronique de la plastie du LCA", soit que ce cas est la complication tardive de l'accident survenu en 2006 (bordereau observations, pièce M4, cf. ég. M7 et M9).</w:t>
      </w:r>
    </w:p>
    <w:p>
      <w:r>
        <w:rPr>
          <w:b/>
        </w:rPr>
        <w:t>E. 6.2</w:t>
      </w:r>
    </w:p>
    <w:p>
      <w:r>
        <w:t>Cependant, les raisonnements et conclusions du Dr E.________ sont mis en doute par certaines pièces du dossier. Le Dr F.________, spécialiste en chirurgie orthopédique et traumatologie de l'appareil locomoteur, est lui d'avis que son patient, "présentait un genou stable et était nullement victime de phénomène de giving-way" (bordereau observations, pièce M6, cf. ég. pièces M1, M2, M5 et M8). Pour sa part, le Dr G.________, spécialiste en chirurgie orthopédique et traumatologie de l'appareil locomoteur, médecin-conseil de C.________, conteste lui-aussi explicitement l'avis du Dr E.________. Il relève ainsi que les suites de l'accident de 2006 ont été favorables et qu'aucune déchirure méniscale n'a été détectée. Soulignant l'existence de lacunes dans l'avis médical de son confrère, il constate que la déchirure semble récente et qu'il n'y a pas d'atteinte au cartilage ou au ménisque, si ce n'est une légère déchirure qui ne peut pas remonter à plusieurs années. Pour ces motifs, il n'y a, selon lui, "aucune raison valable pour que C.________ considère l'accident du 13 juin 2016 comme une rechute de l'accident du 25 janvier 2006" (bordereau observations, pièce M8).</w:t>
      </w:r>
    </w:p>
    <w:p>
      <w:r>
        <w:rPr>
          <w:b/>
        </w:rPr>
        <w:t>E. 6.3</w:t>
      </w:r>
    </w:p>
    <w:p>
      <w:r>
        <w:t>L'on se trouve dès lors en présence d'opinions médicales circonstanciées émanant de spécialistes et qui aboutissent à des conclusions opposées sur une question médicale complexe nécessitant des connaissances spécifiques. L'instruction à laquelle a procédé l'autorité intimée était ainsi entachée d'un doute. Or, la jurisprudence du TF paraît préconiser qu'une expertise soit systématiquement diligentée en</w:t>
      </w:r>
    </w:p>
    <w:p>
      <w:r>
        <w:t>Tribunal cantonal TC Page 8 de 9 présence d'un "doute à tout le moins léger" quant à la pertinence de l'avis du médecin-conseil de l'assureur-accidents (cf. arrêts TF 8C_370/2017 du 15 janvier 2018 consid. 3.3.3; 8C_586/2017 du 20 décembre 2017 consid. 5.3; 8C_796/2016 du 14 juin 2017 consid. 4.4). Même si cette jurisprudence pourrait remettre en cause le principe de la vraisemblance prépondérante, on ne saurait l'ignorer. Il sied dès lors d'annuler la décision sur opposition litigieuse et de renvoyer le dossier à l'autorité intimée pour complément d'instruction, confiée à un médecin externe, afin de départager les opinions médicales contradictoires. Celui-ci cherchera tout particulièrement à savoir si la lésion litigieuse constitue une séquelle, éventuellement dégénérative, du premier accident survenu en 2016.</w:t>
      </w:r>
    </w:p>
    <w:p>
      <w:r>
        <w:rPr>
          <w:b/>
        </w:rPr>
        <w:t>E. 7</w:t>
      </w:r>
    </w:p>
    <w:p>
      <w:r>
        <w:t>Au vu de l'ensemble de ce qui précède, le recours, bien fondé, doit être admis, la décision sur opposition du 10 août 2017 annulée et la cause renvoyée à l'autorité intimée pour instruction complémentaire. Selon le principe de la gratuité de la procédure valant en la matière, il n'est pas perçu de frais de justice. Ayant obtenu gain de cause, le recourant a droit à une indemnité de partie. Le 16 février 2018, son mandataire a présenté sa liste de frais se montant à un total de CHF 5'192.50, soit CHF 4812.50 au titre d'honoraires (13.45 heures à CHF 350.-) et CHF 380.50.- au titre de la TVA (8% et 7.7%). Au regard de l'art. 12 al. 1bis du tarif du 17 décembre 1991 des frais de procédure et des indemnités en matière de juridiction administrative (Tarif JA, RSF 150.12), en cas de fixation sur la base d’une liste de frais détaillée, l’indemnité horaire est de CHF 250.- et non de CHF 350.-. Il convient par conséquent de s'écarter des montants mentionné dans la liste de frais et de fixer l'indemnité de partie à CHF 3'708.75, soit CHF 3'437.50 au titre d'honoraires et CHF 271.25 au titre de la TVA (CHF 2'187.50 à 8% et CHF 1'250.- à 7.7%). Ce montant est intégralement mis à charge de l'autorité intimée.</w:t>
      </w:r>
    </w:p>
    <w:p>
      <w:r>
        <w:t>Tribunal cantonal TC Page 9 de 9 la Cour arrête : I. Le recours est admis, Partant, la décision sur opposition du 10 août 2017 est annulée et la cause renvoyée à l'autorité intimée pour instruction complémentaire. II. Il n'est pas perçu de frais de justice. III. L'indemnité allouée à Me Amandine Torrent, avocate, est fixée à CHF 3'708.75, dont CHF 271.25 au titre de la TVA (8% et 7.7%), montant intégralement mis à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juillet 2018/pte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