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163 vom 26. November 2018</w:t>
      </w:r>
    </w:p>
    <w:p>
      <w:r>
        <w:t>FR Kantonsgericht, 2018-11-26, FR</w:t>
      </w:r>
    </w:p>
    <w:p>
      <w:r>
        <w:rPr>
          <w:b/>
        </w:rPr>
        <w:t xml:space="preserve">Quelle: </w:t>
      </w:r>
      <w:r>
        <w:t>https://mcp.opencaselaw.ch/entscheid/fr_gerichte_605_2017_163</w:t>
      </w:r>
    </w:p>
    <w:p>
      <w:r>
        <w:t>FR: FR_GERICHTE 605 2017 163 du 26 novembre 2018</w:t>
      </w:r>
    </w:p>
    <w:p>
      <w:r>
        <w:t>IT: FR_GERICHTE 605 2017 163 del 26 novembre 2018</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w:t>
      </w:r>
    </w:p>
    <w:p>
      <w:r>
        <w:rPr>
          <w:b/>
        </w:rPr>
        <w:t>E. 2</w:t>
      </w:r>
    </w:p>
    <w:p>
      <w:r>
        <w:t>A teneur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3.1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3.2</w:t>
      </w:r>
    </w:p>
    <w:p>
      <w:r>
        <w:t>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3.2.1.En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t>Tribunal cantonal TC Page 4 de 12 Lorsque le salaire réalisé en dernier lieu par la personne assurée est supérieur à la moyenne (notamment en cas de rémunération à la tâche, comme en l'occurrence, cf. arrêts TF U 400/00 du 18 janvier 2001 consid. 2b; I 456/00 du 13 décembre 2000 consid. 3b et les références), il ne peut être pris en considération au titre de revenu sans invalidité que s'il est établi au degré de la vraisemblance prépondérante que la personne assurée aurait continué à le percevoir.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TF 9C_5/2009 du 16 juillet 2009 consid. 2.3, in SVR 2009 IV n° 58 p. 181; voir également arrêts TF 8C_592/2017 du 16 mars 2018 consid. 2.2; 9C_394/2013 du 27 septembre 2013 consid. 3.4; I 95/03 du 28 janvier 2004 consid. 4.2.2; VALTERIO, Droit de l'assurance-vieillesse et survivants [AVS] et de l'assurance-invalidité [AI], 2011, n° 2082 p. 552; MEYER/REICHMUTH, Bundesgesetz über die Invalidenversicherung [IVG], 3e éd. 2014, nos 47 ss ad art. 28a). 3.2.2.De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117 V 8 consid. 2c/aa; ATFA 1968 188; 1961 39 consid. 2; 1960 249 consid. 2 p. 253;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w:t>
      </w:r>
    </w:p>
    <w:p>
      <w:r>
        <w:t>Tribunal cantonal TC Page 5 de 12 n'existe pratiquement pas sur le marché général du travail ou que son exercice suppose de la part de l'employeur des concessions irréalistes et que, de ce fait, il semble exclu de trouver un emploi correspondant (arrêt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w:t>
      </w:r>
    </w:p>
    <w:p>
      <w:r>
        <w:rPr>
          <w:b/>
        </w:rPr>
        <w:t>E. 4.1</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4.2</w:t>
      </w:r>
    </w:p>
    <w:p>
      <w:r>
        <w:t>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w:t>
      </w:r>
    </w:p>
    <w:p>
      <w:r>
        <w:t>Tribunal cantonal TC Page 6 de 12</w:t>
      </w:r>
    </w:p>
    <w:p>
      <w:r>
        <w:rPr>
          <w:b/>
        </w:rPr>
        <w:t>E. 5.1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5.2</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5.3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w:t>
      </w:r>
    </w:p>
    <w:p>
      <w:r>
        <w:t>Tribunal cantonal TC Page 7 de 12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6</w:t>
      </w:r>
    </w:p>
    <w:p>
      <w:r>
        <w:t>Il n'est pas contesté que la capacité de travail du recourant était nulle du 25 février 2014 au 31 août 2015. Le recourant a travaillé auprès de son employeur à un taux de 20% depuis cette dernière date jusqu'au 30 novembre 2015, au lendemain duquel il a commencé à travailler à 50%. En l'espèce, le recourant soutient avoir droit à une rente entière au-delà du 30 novembre 2015.</w:t>
      </w:r>
    </w:p>
    <w:p>
      <w:r>
        <w:rPr>
          <w:b/>
        </w:rPr>
        <w:t>E. 6.1</w:t>
      </w:r>
    </w:p>
    <w:p>
      <w:r>
        <w:t>Depuis le 1er mars 2016, l'OAI considère que son assuré possède une pleine capacité de travail dans son activité de conseiller en assurance. Il se fonde sur les conclusions du Dr C.________, l'expert en orthopédie qu'elle a mandaté. Dans son rapport du 1er mars 2016, l'expert retient la seule "gonarthrose primaire bilatérale modérée prédominante à droite péjoré depuis l'hiver 2013" comme diagnostic invalidant. Selon lui, cette atteinte à la santé cause des limitations fonctionnelles, empêchant l'assuré d'avoir une capacité de travail entière dans une activité qui ne serait pas parfaitement adaptée. Il s'agit d'une activité sédentaire ou semi-sédentaire permettant l'alternance des positions ainsi que sans port de charges de plus de 10 kg, travaux à genoux ou accroupis, marche en terrain irrégulier et besoin d'emprunter des escaliers ou des pentes à répétition. Il estime que l'assuré "possède un CFC d'employé de commerce et un brevet fédéral d'assurance qui peuvent lui permettre, a priori, de trouver un travail adapté aux limitations fonctionnelles" (dossier OAI, p. 93). Les conclusions de l'expert sont fondées sur l'étude du dossier assécurologique – lequel comprend, outre les rapports des médecins traitants, des relevées d'imagerie médicale – ainsi que sur un entretien avec le recourant du 17 février 2016. A cette occasion, ce dernier a été en mesure de décrire ses troubles qui l'empêcheraient de tenir une position debout ou assise durablement, mais aussi de conduire ou marcher durant plus d'une demi-heure. Pour sa part, l'expert a pu procéder à des examens complets de l'assuré, en pleine connaissance de l'anamnèse et de la situation médicale. Il confronte, par exemple, les plaintes à ses propres constats ce qui le conduit à relever que, bien qu'il n'y ait "pas de phénomènes d'exagération de symptômes ou autre", l'assuré semble "sous-estime[r] sa capacité de travail" au vu de son comportement lors de l'examen. L'expert motive dument ses conclusions, tant s'agissant de l'état de santé que de l'évaluation de la capacité de travail. Il admet ainsi que l'état des deux genoux va se péjorant et que, sur le plan chirurgical, la situation est bloquée dès lors qu'il n'est pas encore temps de réaliser une arthroplastie, suggérant de "persévérer et optimaliser le traitement conservateur de la gonarthrose de l'assuré". S'agissant de la problématique de la capacité de travail, l'expert relève que "selon l'assuré, son métier de conseiller en assurance n'est pas adapté aux limitations fonctionnelles, car il implique de nombreux déplacements en voiture pour visiter les clients et de utiliser souvent des escaliers.</w:t>
      </w:r>
    </w:p>
    <w:p>
      <w:r>
        <w:t>Tribunal cantonal TC Page 8 de 12 Il travaille à 50% depuis le 1er décembre 2015. Cette incapacité de travail de 50% est, à priori, justifiée". Par contre, "dans une activité parfaitement adaptée aux limitations fonctionnelles préalablement décrites, la capacité de travail de l'assuré est complète, sans diminution de rendement". Se référant tant aux plaintes du recourant qu'à ses propres constats cliniques, l'expert conclut donc à l'existence d'une capacité de travail pleine et entière dans une activité adaptée aux limitations fonctionnelles. Il ressort de ce qui précède que l'expertise du 1er mars 2016 du Dr C.________ est convaincante et peut, dès lors, être suivie.</w:t>
      </w:r>
    </w:p>
    <w:p>
      <w:r>
        <w:rPr>
          <w:b/>
        </w:rPr>
        <w:t>E. 6.2</w:t>
      </w:r>
    </w:p>
    <w:p>
      <w:r>
        <w:t>Les conclusions de l'expert n'apparaissent au demeurant pas mises en doute par l'avis contraire du Dr D.________, spécialiste en chirurgie orthopédique et traumatologie de l'appareil locomoteur. A ce stade, on relèvera que l'avis de son prédécesseur, le Dr E.________, médecin praticien et spécialiste en chirurgie orthopédique et traumatologie de l'appareil locomoteur, est bien antérieur aux dernières interventions. Il ne prend dès lors pas en compte l'évolution qui les a suivies, de sorte qu'il ne peut permettre de trancher le présent litige (cf. dossier OAI, p. 176, 205, 226 et 231). En mars 2015, lorsqu'il commence à suivre ce patient, le Dr D.________ faisait état des diagnostics invalidants d'"échec sur chirurgie du genou droit", de "chondropathie rotulienne et du plateau tibial interne ainsi que du condyle fémoral interne stade IV (Genou droit)", d'"ostéochondromes multiples (genou droit)", de "chondropathie fémoro-tibiale externe du genou gauche" et de "chondropathie fémoro-rotulienne interne du genou gauche" (rapport du 13 mars 2015, dossier OAI, p. 188). Ces diagnostics ne seront pas modifiés par la suite (cf. dossier OAI, p. 122, 156 et 167), quand bien même le médecin a procédé à plusieurs interventions chirurgicales en avril et mai 2015. S'agissant de la problématique de la capacité de travail, le médecin estime que celle-ci est très restreinte après les interventions subies par le recourant (entre 0 et 25%; cf. rapports des 13 mars, 25 juin et 20 août 2015, dossier OAI, p. 156, 167 et 188). Ensuite, depuis novembre 2015 et jusqu'à ce jour, il atteste, d'une capacité de travail de 50% dans une activité adaptée. Au titre de limitations fonctionnelles, il indique que "toute déambulation et en particulier en terrain irrégulier, la montée et la descente des escaliers sont à proscrire en raison des douleurs". Il retient des limitations dans le maintien des la position debout ou assise, à genoux, accroupie ou abaissée, ainsi qu'en lien avec les déplacements. A l'instar de l'expert, il atteste également d'une limitation quant au port de charge (cf. rapport du 5 novembre 2015, dossier OAI, p. 122). On constate ainsi que l'expert et le médecin traitant font état de limitations fonctionnelles semblables. Bien plus que par la nature des limitations, c'est bien sur l'importance de celles-ci que les avis des deux médecins divergent. Par exemple, alors que l'expert estime que l'assuré devrait pouvoir porter des charges de moins de 10 kg, le médecin traitant fixe la limite à des poids de 1 kg. De même, alors que l'expert pense que l'assuré peut travailler dans une activité adaptée à temps plein, le médecin traitant fixe la capacité de travail à 50% dans une activité adaptée depuis novembre 2015 (cf. rapport du 5 novembre 2015, dossier OAI, p. 122). Cependant, l'appréciation du médecin traitant n'apparaît pas entièrement crédible. Il ne faut, en effet, pas perdre de vue que l'assuré est encore jeune et que les atteintes à sa santé sont limitées</w:t>
      </w:r>
    </w:p>
    <w:p>
      <w:r>
        <w:t>Tribunal cantonal TC Page 9 de 12 aux genoux. L'on peine dès lors à comprendre comment de telles atteintes empêcheraient l'assuré de porter des charges légères (moins de 10 kg) ou de travailler à temps plein dans une activité parfaitement adaptée. L'on doit, au contraire, raisonnablement considérer que sa capacité de travail n'est pas limitée dans une activité légère, permettant l'alternance des positions et sans grand déplacements; à tout le moins, dite capacité de travail n'est pas plausiblement limitée dans la mesure alléguée par le médecin traitant. Il apparait que le médecin traitant semble ici enclin à prendre parti pour son patient. Mis dans le contexte de la jurisprudence constante du Tribunal fédéral, cela peut se justifier par la relation de confiance qui le lie à son patient, laquelle est un motif justifiant d’attacher plus de poids à l’opinion motivée d’un expert (cf. consid. 5.3 ci-avant). Au demeurant, le recourant semble souvent renoncer à prendre le traitement antidouleur, pourtant prescrit par son médecin. L'expert indique ainsi que celui-ci "consomme rarement 1 comprimé d'Irfen 400 ou 1g de Dafalgan" (dossier OAI, p. 93), constat confirmé par les déclarations du recourant à l'occasion d'un entretien avec l'assurance-invalidité (entretien du 26 octobre 2015, dossier OAI, p. 134). Cela va dans le sens des affirmations de l'expert qui souligne la tendance probable de l'assuré à surévaluer ses douleurs, motif extra-médical qui n'a pas à être mis à la charge de l'assurance-invalidité. Partant, la Cour se réfère aux conclusions du Dr C.________ et retient que le recourant est en mesure d'exercer une activité adaptée, à temps plein et sans perte de rendement. Cette activité doit être sédentaire ou semi-sédentaire, permettre l'alternance des positions et ne pas imposer de port de charges de plus de 10 kg, de travaux à genoux ou accroupis, de marche en terrain irrégulier et d'emprunter des escaliers ou des pentes à répétition.</w:t>
      </w:r>
    </w:p>
    <w:p>
      <w:r>
        <w:rPr>
          <w:b/>
        </w:rPr>
        <w:t>E. 6.3</w:t>
      </w:r>
    </w:p>
    <w:p>
      <w:r>
        <w:t>Dans son mémoire de recours, l'assuré soutient que son activité habituelle de conseiller en assurance n'est pas conforme à ces restrictions, de sorte que l'OAI devrait procéder à une comparaison des revenus. Dans son rapport d'expertise du 1er mars 2016, le Dr C.________ estime que l'activité telle que décrite par le recourant, soit imposant de longs déplacements en voiture et imposant de monter de nombreux escaliers, ne peut être exercée qu'à mi-temps. Par contre, il relève que l'assuré "a une formation qui lui permettra d'avoir un métier adapté aux limitations fonctionnelles qui résultent de ses problèmes de genoux" et que "dans une activité parfaitement adaptée aux limitations fonctionnelles préalablement décrites, la capacité de travail de l'assuré est complète, sans diminution de rendement" (dossier OAI, p. 93). En outre, dans un complément d'expertise du 14 février 2017, il précise que "à [s]on avis, le métier de conseiller d'assurance peut très bien être adapté aux limitations fonctionnelles" (dossier OAI, p. 38). Ce raisonnement peut être confirmé. Il est certes probable que l'activité actuelle impose des déplacements, dont des montées et descentes d'escaliers ou de la marche en terrain irrégulier. Cependant, à lire les conclusions de l'expert, le recourant reste en mesure de réaliser de tels mouvements, pour autant que cela ne soit pas récurrent. Or, l'activité de conseiller en assurances n'impose vraisemblablement que des marches (y compris dans les escaliers ou sur un terrain irrégulier) sur de courtes distances (par exemple du véhicule au domicile du client). Pour leur part, les déplacements en voiture sont également limités dans la mesure où l'assuré travaille pour une agence régionale entourée de trois</w:t>
      </w:r>
    </w:p>
    <w:p>
      <w:r>
        <w:t>Tribunal cantonal TC Page 10 de 12 autres agences à moins de 20 km. Cette activité permet en outre d'alterner les positions et n'impose pas des positions ou des charges inadaptées. Enfin, en particulier dans le travail hors locaux, elle donne une certaine souplesse dans la gestion du planning, permettant d'optimiser les déplacements et d'organiser, si nécessaire, des moments de pause ou de repos. L'activité actuelle de conseiller en assurances doit donc être considérée comme adaptée. Il ressort de ce qui précède que le recourant est toujours en mesure d'exercer l'activité de conseiller en assurance, en dernier lieu à temps plein.</w:t>
      </w:r>
    </w:p>
    <w:p>
      <w:r>
        <w:rPr>
          <w:b/>
        </w:rPr>
        <w:t>E. 7.1</w:t>
      </w:r>
    </w:p>
    <w:p>
      <w:r>
        <w:t>Dans la mesure où l'ancienne activité est compatible avec les limitations fonctionnelles du recourant, l'étendue de la perte de gain résultant de l'incapacité de travail devrait correspondre au pourcentage du salaire qu'il aurait touché s'il était demeuré en bonne santé. Il est dès lors possible, de procéder à une comparaison en pour cent pour évaluer la perte de gain et, partant, l'invalidité du recourant. Dans ces circonstances, la capacité de travail du recourant doit être considérée comme nulle du 25 février 2014 au 31 août 2015, puis de 20% jusqu'au 30 novembre 2015. Cela correspond à la capacité de travail médicalement attestée par ses médecins. Son degré d'invalidité est dès lors supérieur à 70% pour cette période. Depuis le lendemain et jusqu'à la fin février 2016 – mois de l'expertise du Dr C.________ – le recourant travaillait auprès de son employeur à un taux de 50%, taux qui correspondait alors également à la capacité de travail médicalement attestée par l'ensemble des pièces au dossier. Ce taux de 50% peut être retenu comme son degré d'invalidité pour cette période. Enfin, depuis le 1er mars 2016, le recourant était en mesure de reprendre son travail de conseiller en assurance à temps plein, sans perte de rendement, en se fondant sur les conclusions du Dr C.________. Il n'y a dès lors plus de perte de gain et le degré d'invalidité doit être considéré comme nul.</w:t>
      </w:r>
    </w:p>
    <w:p>
      <w:r>
        <w:rPr>
          <w:b/>
        </w:rPr>
        <w:t>E. 7.2</w:t>
      </w:r>
    </w:p>
    <w:p>
      <w:r>
        <w:t>Cependant, dans la décision litigieuse, il apparaît que l'autorité intimée n'a pas pris en compte le délai de "transition" de trois mois figurant à l'art. 88a RAI, lequel s'applique non seulement dans le cadre d'une modification du droit à une rente précédemment allouée à l'occasion d'une procédure de révision (art. 17 LPGA), mais également lorsqu'une rente échelonnée dans le temps est accordée à titre rétroactif (cf. ATF 125 V 413 consid. 2d). Dans ces circonstances, la Cour modifie la décision contestée et reconnaît au recourant le droit à une rente entière du 1er février 2015 (échéance du délai d'attente d'une année) au 29 février 2016, compte tenu des trois mois du délai précité. Par la suite, du 1er mars 2016 au 31 mai 2016, il a droit, toujours en application des règles temporelles qui précèdent, à une demi-rente sur la base d'un degré d'invalidité de 50%. Enfin, dès le 1er juin 2016, le droit à une rente doit lui être nié.</w:t>
      </w:r>
    </w:p>
    <w:p>
      <w:r>
        <w:t>Tribunal cantonal TC Page 11 de 12</w:t>
      </w:r>
    </w:p>
    <w:p>
      <w:r>
        <w:rPr>
          <w:b/>
        </w:rPr>
        <w:t>E. 8.1</w:t>
      </w:r>
    </w:p>
    <w:p>
      <w:r>
        <w:t>Sur le vu de ce qui précède, il convient d'admettre partiellement le recours et modifier la décision litigieuse en ce sens que l'assuré a droit à une rente d'invalidité entière pour la période du 1er février 2015 au 29 février 2016 et à une demi-rente du 1er mars 2016 au 31 mai 2016. En revanche, le droit à la rente s'éteint à partir du 1er juin 2016.</w:t>
      </w:r>
    </w:p>
    <w:p>
      <w:r>
        <w:rPr>
          <w:b/>
        </w:rPr>
        <w:t>E. 8.2</w:t>
      </w:r>
    </w:p>
    <w:p>
      <w:r>
        <w:t>La procédure n'étant pas gratuite (cf. art. 69 al. 1bis LAI), les frais de justice sont fixés à CHF 800.-. Compte tenu de l'admission très partielle du recours, ils sont proportionnellement répartis (cf. art. 131 al. 1 du code cantonal du 23 mai 1991 de procédure et de juridiction administrative [CPJA; RSF 150.1]) à raison de CHF 200.- à la charge de l'autorité intimée et de CHF 600.- à la charge du recourant. Ce dernier ayant versée une avance de frais fixée à CHF 800.-, les frais de procédure sont compensés à hauteur de CHF 600.- et le solde de CHF 200.- lui est restitué.</w:t>
      </w:r>
    </w:p>
    <w:p>
      <w:r>
        <w:rPr>
          <w:b/>
        </w:rPr>
        <w:t>E. 8.3</w:t>
      </w:r>
    </w:p>
    <w:p>
      <w:r>
        <w:t>Ayant obtenu partiellement gain de cause, le recourant a droit à une indemnité de partie (cf. art. 61 let. g LPGA et 138 al. 2 du code cantonal du 23 mai 1991 de procédure et de juridiction administrative; CPJA; RSF 150.1). Le 6 septembre 2017, son mandataire a produit sa liste de frais d'un montant total de CHF 3'918.95, soit CHF 3'408.35 au titre des honoraires (13.6 heures à CHF 250.-), CHF 137.- au titre des photocopies, CHF 83.30 au titre des débours et CHF 290.30 au titre de la TVA (8%). Cependant, la liste de frais prend en compte de nombreuses opérations qui n'ont pas à être prises en charge dans le cadre de la procédure de recours dès lors qu'elles sont antérieures à la décision du 28 juin 2017. Elle inclut en outre un tarif des photocopies qui ne correspond par aux exigences du Tarif cantonal du 17 décembre 1991 des frais de procédure et des indemnités en matière de juridiction administrative (Tarif JA; RSF 150.12). Enfin, il convient de prendre en considération l'admission partielle du recours sur la seule prolongation de la rente, respectivement demi-rente, durant une période de trois mois alors que le recourant concluait à l'octroi d'une rente entière pour une durée indéterminée. La Cour s'écarte dès lors de la liste de frais présentée et fixe ex aequo et bono l'indemnité de partie à CHF 540.-, dont CHF 40.- au titre de la TVA (8%), montant qui permet de tenir compte de l'importance et de la difficulté de l'affaire ainsi que de l'admission partielle du recours. Ce montant est intégralement mis à la charge de l'autorité intimée.</w:t>
      </w:r>
    </w:p>
    <w:p>
      <w:r>
        <w:t>Tribunal cantonal TC Page 12 de 12 la Cour arrête : I. Le recours est partiellement admis. Partant, la décision du 28 juin 2017 est modifiée dans le sens que le recourant a droit à une rente d'invalidité entière pour la période du 1er février 2015 au 29 février 2016 et à une demi- rente du 1er mars 2016 au 31 mai 2016. Elle est confirmée pour le surplus. II. Les frais de justice, de CHF 800.-, sont mis à raison de CHF 200.- à la charge de l'autorité intimée et de CHF 600.- à la charge du recourant; ce montant est compensé avec l'avance de frais de CHF 800.- et le solde de CHF 200.- est restitué au recourant. III. L'indemnité allouée à Me Hervé Bovet, avocat, est fixée à CHF 540.-, dont CHF 40.- au titre de la TVA (8%). Elle est intégralement prise en charge par l'Etat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novembre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