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16 vom 1. Dezember 2017</w:t>
      </w:r>
    </w:p>
    <w:p>
      <w:r>
        <w:t>FR Kantonsgericht, 2017-12-01, FR</w:t>
      </w:r>
    </w:p>
    <w:p>
      <w:r>
        <w:rPr>
          <w:b/>
        </w:rPr>
        <w:t xml:space="preserve">Quelle: </w:t>
      </w:r>
      <w:r>
        <w:t>https://mcp.opencaselaw.ch/entscheid/fr_gerichte_605_2017_16</w:t>
      </w:r>
    </w:p>
    <w:p>
      <w:r>
        <w:t>FR: FR_GERICHTE 605 2017 16 du 1 décembre 2017</w:t>
      </w:r>
    </w:p>
    <w:p>
      <w:r>
        <w:t>IT: FR_GERICHTE 605 2017 16 del 1 dicembre 2017</w:t>
      </w:r>
    </w:p>
    <w:p>
      <w:pPr>
        <w:pStyle w:val="Heading2"/>
      </w:pPr>
      <w:r>
        <w:t>Regeste</w:t>
      </w:r>
    </w:p>
    <w:p>
      <w:r>
        <w:t>Arrêt de la Ie Cour des assurances sociales du Tribunal cantonal | Invalidenversicherung</w:t>
      </w:r>
    </w:p>
    <w:p>
      <w:pPr>
        <w:pStyle w:val="Heading2"/>
      </w:pPr>
      <w:r>
        <w:t>Erwägungen</w:t>
      </w:r>
    </w:p>
    <w:p>
      <w:r>
        <w:rPr>
          <w:b/>
        </w:rPr>
        <w:t>E. 17</w:t>
      </w:r>
    </w:p>
    <w:p>
      <w:r>
        <w:t>mai 2011, d’une part, parce que l’assuré n’avait subi aucune aggravation de son état de santé et, d’autre part, parce que, après comparaison des revenus de valide et d’invalide, le taux d’invalidité n’était plus que de 8% (dossier OAI, p. 374-376). C. Saisie d’un recours contre cette décision, la Cour de céans a confirmé dans un arrêt du 16 avril 2013 (605 2011-198) que l’état de santé était resté stationnaire et que le taux d’invalidité était d’au maximum 8.1%, en retenant un revenu sans invalidité de CHF 88'400.-. Quant au montant qui devait être pris en compte au titre de revenu avec invalidité, la Cour de céans a estimé qu’il était d’au minimum CHF 81'211.- (CHF 6'247.- fois treize), soit le montant indiqué dans le contrat de travail du 1er janvier 2009. Tout ceci a été confirmé par le Tribunal fédéral dans un arrêt du 14 août 2013 (9C_338/2013). Ce dernier a en particulier retenu, s’agissant du revenu sans invalidité, que le salaire de CHF 111'800.- évoqué par l’employeur reposait sur une simple comparaison et n’était pas étayé par des éléments concrets et pertinents établissant, au degré de la vraisemblance prépondérante, qu’il aurait pu obtenir un tel salaire en l’absence d’atteinte à la santé (dossier OAI, p. 141). D. Dans l’intervalle, A.________ a déposé une nouvelle demande de rente le 17 juillet 2012, indiquant qu’il était désormais en incapacité totale de travail depuis le 11 mai 2011 (dossier OAI, p. 292 et 216). L’OAI a rendu un premier projet de décision le 10 juillet 2015 (dossier OAI, p. 80), remplacé par un nouveau projet le 15 juin 2016 (dossier OAI, p. 47), puis à nouveau le 27 décembre 2016 (dossier OAI, p. 23-26), suite aux objections successives de l’assuré. Ce dernier projet de décision du 27 décembre 2016 prévoit l’octroi d’un quart de rente dès le 1er juillet 2012, fondé sur un taux d’invalidité de 46%. L’autorité intimée a pris en considération un revenu sans invalidité de CHF 90'698.40 (soit le revenu de CHF 88'400.- retenu par l’arrêt du TF, indexé à 2.6%), et un revenu avec invalidité de CHF 49'225.25, correspondant au revenu statistique selon l’ « Enquête suisse sur la structure des salaires 2012 » (ESS), compte tenu d’une capacité de travail de 100% dans une activité adaptée avec une diminution de rendement de 25%. La motivation de ce projet de décision a ensuite été transmise à la Caisse de compensation des entrepreneurs suisses le 16 février 2017 (dossier OAI, p. 22), dans l’attente de la décision finale. E. Contre ce dernier projet de décision, A.________, agissant par son mandataire Me Hervé Bovet, avocat, interjette recours le 31 janvier 2017 auprès de la Cour de céans, d’abord à son ancienne adresse, puis à l’adresse actuelle par courrier du 8 février 2017. Sous suite de frais et dépens, il conclut à l’annulation de la décision attaquée et à la constatation d’un taux d’invalidité de 50% au moins et, partant, à l’octroi d’une demi-rente d’invalidité. En substance, il conteste le revenu sans invalidité pris en compte par l’autorité intimée, estimant que le revenu de CHF 111'800.- attesté par l’employeur correspond à la réalité et qu’à tout le moins, un revenu de CHF 100'000.- devrait être retenu. Dans ses observations du 16 mars 2017, l’OAI s’en remet à justice concernant la recevabilité du recours et, sur le fond, propose son rejet. Il considère que la question du revenu sans invalidité a déjà été tranchée par le Tribunal fédéral et que, partant, le revenu sans invalidité de CHF 88'400.-, indexé à 2.6%, soit CHF 90'698.40, doit être confirmé.</w:t>
      </w:r>
    </w:p>
    <w:p>
      <w:r>
        <w:t>Tribunal cantonal TC Page 4 de 10 Par courrier du 19 avril 2017, le recourant a requis la suspension de la procédure, indiquant avoir transmis à l’OAI ses objections à l’encontre du projet de décision du 27 décembre 2017. Subsidiairement, il a requis la prolongation du délai imparti pour déposer ses contre-observations. Par courrier du 3 mai 2017, l’OAI a confirmé que la décision finale n’avait pas encore pu être notifiée à l’assuré, dans l’attente des calculs de la Caisse de compensation. Elle s’est ainsi déclarée favorable à la requête de suspension de la procédure, dans l’attente de la notification de la décision finale. Par ailleurs, elle a précisé que le projet de décision litigieux faisait déjà suite à une procédure d’objection et que la décision finale n’aurait pas été modifiée suite à une nouvelle procédure d’objection. Dans ces conditions, par courrier du 8 juin 2017, le Juge délégué a indiqué aux parties que, dans la mesure où seul le revenu sans invalidité était litigieux, la suspension de la procédure ne se justifiait pas et que les parties étaient libres d’agir et de produire toute pièce susceptible de modifier leurs conclusions. Le 31 octobre 2017, le recourant a produit ses ultimes observations, en faisant valoir que les documents produits à l’appui du présent recours, à savoir les extraits de son compte individuel de prévoyance professionnelle, démontrent que le revenu sans invalidité est supérieur à celui retenu par l’autorité intimée. Il estime en outre que les conclusions du Tribunal fédéral à ce propos ne déploient pas d’autorité de force jugée, s’agissant d’une procédure différente. Par courrier du 31 octobre 2017, l’OAI a indiqué ne plus avoir d’observations particulières à formuler. Il sera fait état du détail des arguments des parties dans les considérants en droit du présent arrêt, pour autant que cela soit utile à la solution du litige, considérants dans le cadre desquels seront par ailleurs examinés leur moyens de preuve. en droit 1. a) Interjeté en temps utile auprès de l’ancienne adresse de la Cour de céans, et redirigé à la bonne adresse dès constatation de l’erreur, sans avoir subi aucune modification, le mémoire de recours est recevable, conformément à la jurisprudence du Tribunal fédéral (cf. arrêt TF 9C_912/2015 du 5 juillet 2016). b) Se pose également la question de la recevabilité du recours sous l’angle de l’objet du litige. En effet, l’acte attaqué par le recourant est, sur le plan formel, un projet de décision, la décision finale n’ayant pas encore été notifiée au recourant. Toutefois, dans la mesure où la question litigieuse, à savoir le revenu sans invalidité, est clairement déterminée, et où l’autorité intimée a explicitement déclaré que la décision finale n’allait pas être modifiée à ce propos et ne l’aurait pas non plus été suite à une procédure d’objection préalable – compte tenu des précédentes procédures d’objections ayant d’ores et déjà eu lieu –, il paraît opportun, par économie de procédure, de considérer l’acte du 27 décembre 2016 comme une décision sur ce point et de statuer sur le fond de ce litige.</w:t>
      </w:r>
    </w:p>
    <w:p>
      <w:r>
        <w:t>Tribunal cantonal TC Page 5 de 10 2.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Ce n'est donc pas l'atteinte à la santé en soi qui est assurée, ce sont bien plutôt les conséquences économiques de celle-ci (ATF 127 V 294). 3. a) 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b)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Selon la jurisprudence, l'administration – lorsqu'un motif de révision est donné – examine le droit à la rente dans les faits et dans le droit de manière exhaustive ("bilatérale") et n'est pas liée par ses appréciations précédentes. Il n'est pas nécessaire qu'une modification de fait mène à une nouvelle fixation de la rente d'invalide; au contraire il se peut que, pendant l'examen du droit à la rente, d'autres éléments mènent à une augmentation, une diminution ou une annulation de la rente (arrêt du Tribunal fédéral 9C_378/2014 du 21 octobre 2014 consid. 4.2). Ainsi, le revenu de valide en tant que valeur dans la comparaison des revenus est, dans le cadre d'une révision de rente au sens de l'art. 17 al. 1 LPGA, librement réexaminable, lorsque les pièces au dossier ou les allégués des parties le permettent. Dans cette affaire, le Tribunal administratif fédéral avait considéré ne pas être lié par son précédent arrêt dès lors que la force de chose jugée de celui-ci ne s'appliquait qu'à la période déterminante temporelle soumise à l'examen à l'époque et non pas à la réduction de rente ultérieure (arrêts du Tribunal fédéral 9C_163/2008 du 1er juillet 2008 consid. 3.3 et les références citées et 9C_721/2010 du 15 novembre 2010 consid. 3, lequel</w:t>
      </w:r>
    </w:p>
    <w:p>
      <w:r>
        <w:t>Tribunal cantonal TC Page 6 de 10 ne tranche pas la question de savoir si cet arrêt a valeur de précédent; cf. ég. I 176/04 du</w:t>
      </w:r>
    </w:p>
    <w:p>
      <w:r>
        <w:rPr>
          <w:b/>
        </w:rPr>
        <w:t>E. 20</w:t>
      </w:r>
    </w:p>
    <w:p>
      <w:r>
        <w:t>septembre 2004 entre les mêmes parties). c) Il convient de distinguer cette révision matérielle au sens de l’art. 17 LPGA de la révision formelle, ou révision procédurale, de l’art. 53 al. 1 LPGA. Selon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formelle ou procédurale). La notion de faits ou moyens de preuve nouveaux s'apprécie de la même manière en cas de révision (procédurale) d'une décision administrative (art. 53 al. 1 LPGA), de révision d'un jugement cantonal (art. 61 let. i LPGA) ou de révision d'un arrêt fondée sur l'art. 123 al. 2 let. a LTF (arrêt du Tribunal fédéral 9C_764/2009 du 26 mars 2010 consid. 3.1). Sont « nouveaux » au sens de ces dispositions les faits qui se sont produits jusqu'au moment où, dans la procédure principale, des allégations de faits étaient encore recevables, mais qui n'étaient pas connus de l’assuré ou de l’assureur malgré toute sa diligence. En outre, les faits nouveaux doivent être importants, c'est-à- dire qu'ils doivent être de nature à modifier l'état de fait qui est à la base de l'arrêt entrepris et à conduire à un jugement différent en fonction d'une appréciation juridique correcte (ATF 134 III 669 consid. 2.2 p. 671 et les références citées). Les preuves, quant à elles, doivent servir à prouver soit les faits nouveaux importants qui motivent la révision, soit des faits qui étaient certes connus lors de la procédure précédente, mais qui n'avaient pas pu être prouvés.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et les références citées; arrêts du Tribunal fédéral 8F_9/2010 du 10 mars 2011 consid. 3.1 et 8C_934/2009 du</w:t>
      </w:r>
    </w:p>
    <w:p>
      <w:r>
        <w:rPr>
          <w:b/>
        </w:rPr>
        <w:t>E. 24</w:t>
      </w:r>
    </w:p>
    <w:p>
      <w:r>
        <w:t>février 2010 consid. 2.1). La révision procédurale de l’art. 53 LPGA suppose ainsi une décision incorrecte dès le départ, au contraire de la révision matérielle de l’art. 17 LPGA, qui concerne une décision correcte au moment où elle a été rendue, mais pour laquelle un changement subséquent des circonstances commande une modification ultérieurement (cf. U. KIESER, ATSG Kommentar, 3. Aufl., § 4-5 ad Art. 17). 4. a)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w:t>
      </w:r>
    </w:p>
    <w:p>
      <w:r>
        <w:t>Tribunal cantonal TC Page 7 de 10 lui, avec le revenu sans invalidité, à savoir ce qu’il pourrait gagner si l’invalidité ne l’entravait pas (RCC 1963 p. 365). C’est l’application de la méthode ordinaire, dite classique, d’évaluation du taux d’invalidité (art. 28a al. 1 LAI). Cette comparaison des revenus s’effectue, en règle générale, en chiffrant aussi exactement que possible les montants de ces deux revenus (RCC 1985 p. 469). c) Le revenu hypothétique de la personne valide (revenu sans invalidité)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En outre, le revenu que pourrait réaliser l'assuré sans invalidité est en principe établi sans prendre en considération les possibilités théoriques de développement professionnel ou d'avancement, à moins que des indices concrets rendent très vraisemblables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(arrêt TF U 87/05 du 13 septembre 2005, in RAMA 2006 no U 568 p. 67 consid. 2). d) 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i. f. p. 31; arrêt 8C_564/2013 du 17 octobre 2013 consid. 6.1 et les références). 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Ce qui est déterminant, c'est l'ensemble des circonstances jusqu'au moment de la révision. Si depuis la décision initiale de rente la personne assurée a démontré des qualifications professionnelles particulières, que ce soit en raison d'une formation continue ou d'un engagement important et que cela a eu des répercussions sur le salaire d'invalide, il s'agit d'un indice important que l'assuré qui a continué à</w:t>
      </w:r>
    </w:p>
    <w:p>
      <w:r>
        <w:t>Tribunal cantonal TC Page 8 de 10 exercer la même activité après l'atteinte à la santé aurait connu une évolution équivalente s'il était resté en bonne santé (arrêt TF 9C_33/2016 du 16 août 2016 consid. 7.1 et les références). e) De jurisprudence constante, il est admis qu'en l'absence d'un revenu d'invalide effectivement réalisé, l'on peut se fonder sur les enquêtes statistiques pour le déterminer. La réduction du montant des salaires ressortant des statistiques en vue de fixer le gain d'invalide en l'absence d'un revenu effectivement réalisé doit tenir compte de certains empêchements propres à la personne de l'invalide, à savoir les limitations liées au handicap, l'âge, les années de service, la nationalité et, le cas échéant, la catégorie d'autorisation de séjour, ainsi que le taux d'occupation. Une déduction globale supérieure à 25% n'est pas admise (ATF 126 V 79 sv. consid. 5b/aa-cc; VSI 2002 p. 70 sv. consid. 4b). La déduction, qui doit être effectuée globalement, résulte d'une évaluation et doit être brièvement motivée par l'administration; le juge des assurances sociales ne peut, sans motifs pertinents, substituer son appréciation à celle de l'administration (ATF 126 V 81 consid. 6). 5. Est en l’espèce uniquement litigieux le taux d’invalidité du recourant et, plus particulièrement, la détermination du revenu sans invalidité devant être pris en considération dans le calcul de ce taux. Ce dernier prétend qu’un revenu supérieur aurait dû être pris en considération, compte tenu des revenus effectivement perçus jusqu’en 2009. Le revenu avec invalidité n’est en revanche pas remis en cause. Quant à l’autorité intimée, elle estime qu’il convient de se baser sur le revenu sans invalidité confirmé par le TF, à savoir CHF 88'400.-, indexé à 2.6%, soit CHF 90'698.40. Qu’en est-il ? a) En l’occurrence, le projet de décision querellé fait suite à une troisième demande, datée du 17 juillet 2012, dans laquelle le recourant a fait valoir l’aggravation de son état de santé. La présente procédure de révision a dès lors pour objet de tenir compte de toutes les modifications survenues depuis la dernière décision lors de laquelle il a été procédé à un examen matériel du droit à la rente. Il convient donc d’examiner si, et dans quelle mesure, les modifications survenues depuis lors ont correctement été prises en considération par l’autorité intimée. La dernière décision lors de laquelle le droit à la rente a été examiné sur le plan matériel est le refus de rente du 17 mai 2011. Cette décision, qui faisait suite à une deuxième demande de l’assuré, a abouti à un refus de rente en raison d’un taux d’invalidité de 8%. Cette décision a été confirmée par la Cour de céans le 16 avril 2013, puis par le Tribunal fédéral le 14 août 2013, qui a notamment confirmé le revenu sans invalidité de CHF 88'400.-, correspondant au salaire mentionné dans le contrat de travail du 1er janvier 2009, soit CHF 6'800.- par mois. Dans le projet de décision querellé, l’OAI s’est basé sur ce montant, indexé à 2.6%, soit CHF 90'698.40, pour procéder à la comparaison des revenus de valide et d’invalide, donnant lieu à un taux d’invalidité de 45.73%.</w:t>
      </w:r>
    </w:p>
    <w:p>
      <w:r>
        <w:t>Tribunal cantonal TC Page 9 de 10 Le recourant conteste cette façon de faire au motif que les extraits de compte de la caisse de prévoyance Consimo de 1993 à 2013 attestent de revenus supérieurs perçus entre 2004 et 2008, de sorte qu’il considère que le revenu de valide a été fixé de manière erronée. Il prétend que, s’agissant d’une nouvelle procédure, le revenu de valide peut être réexaminé librement et que l’autorité n’est pas liée par les précédentes décisions entrées en force. b) Ce raisonnement ne peut toutefois pas être suivi. Certes, la jurisprudence fédérale admet le libre réexamen de tous les paramètres permettant de calculer le taux d’invalidité, dans le cadre d’une révision au sens de l’art. 17 LPGA (consid. 3.b ci- dessus). L’autorité n’est donc pas liée par ses précédentes constatations, notamment concernant le revenu de valide. Encore faudrait-il qu’une modification des circonstances soit établie au degré de la vraisemblance prépondérante. Or, en l’espèce, les extraits de la caisse de prévoyance Consimo produits par le recourant ne permettent pas d’établir avec certitude un revenu de valide supérieur à CHF 88'400.-, compte tenu des adaptations successives de son salaire. En effet, il ressort des déclarations de l’employeur qu’à compter de l’année 2008, ce dernier entendait déduire du salaire contractuel non seulement la rente AI, mais également celle versée par la caisse de pension. Or, selon les déclarations de l’employeur, ces déductions n’ont pas été opérées immédiatement sur le salaire versé au recourant mais ont dû faire l’objet de remboursements ultérieurs durant l’année 2010 (dossier OAI, p. 396). Partant, l’extrait de la caisse de prévoyance produit par le recourant, et en particulier les chiffres correspondant aux années 2008 et 2009, ont pu être influencés par ces erreurs et adaptations successives. Il ne constitue dès lors pas un élément suffisamment probant pour établir un revenu de valide supérieur à celui retenu par le Tribunal fédéral dans le cadre de la précédente procédure. Dans ces conditions, l’OAI était en droit de retenir le revenu de valide qui avait été confirmé par la plus haute de nos instances judiciaires : qu’il l’ait fait ne relève à tout le moins pas de l’arbitraire. Au demeurant, le recourant paraît vouloir remettre en cause une décision entrée en force, s’agissant du revenu de valide, détournant en cela de son but l’institution de la révision selon l’art. 17 LPGA, qui n’a en principe vocation qu’à adapter le droit aux prestations en fonction de circonstances nouvelles, non établies en l’espèce. Toutes les modifications survenues depuis la dernière décision rendue par l’OAI ont en revanche bien été prises en compte par l’OAI dans le cadre de cette nouvelle procédure de révision, à savoir l’aggravation de l’état de santé du recourant qu’il a fait valoir dans sa troisième demande ainsi que le nouveau revenu d’invalide qui découle de cette aggravation. La Cour constate d’ailleurs à ce propos que le recourant ne conteste ni la capacité de travail résiduelle constatée par les experts (100% dans une activité adaptée, avec une diminution de rendement de 25%), ni le revenu d’invalide qui en découle. Le taux d’invalidité retenu par l’OAI ne prête ainsi pas le flanc à la critique et doit être confirmé. 6. Au vu de ce qui précède, le recours s’avère mal fondé et doit être intégralement rejeté.</w:t>
      </w:r>
    </w:p>
    <w:p>
      <w:r>
        <w:t>Tribunal cantonal TC Page 10 de 10 Des frais de justice sont mis à la charge du recourant qui succombe, par CHF 800.-. Ils sont compensés avec son avance de frais. Il n’est enfin pas alloué d’indemnité de partie. la Cour arrête: I. Le recours est rejeté. Partant, le projet de décision du 27 décembre 2016 est confirmé. II. Des frais de justice de CHF 800.- sont mis à la charge du recourant; ils sont compensés avec l’avance de frais du 20 février 2017.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décembre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