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152 vom 25. Juni 2018</w:t>
      </w:r>
    </w:p>
    <w:p>
      <w:r>
        <w:t>FR Kantonsgericht, 2018-06-25, FR</w:t>
      </w:r>
    </w:p>
    <w:p>
      <w:r>
        <w:rPr>
          <w:b/>
        </w:rPr>
        <w:t xml:space="preserve">Quelle: </w:t>
      </w:r>
      <w:r>
        <w:t>https://mcp.opencaselaw.ch/entscheid/fr_gerichte_605_2017_152</w:t>
      </w:r>
    </w:p>
    <w:p>
      <w:r>
        <w:t>FR: FR_GERICHTE 605 2017 152 du 25 juin 2018</w:t>
      </w:r>
    </w:p>
    <w:p>
      <w:r>
        <w:t>IT: FR_GERICHTE 605 2017 152 del 25 giugno 2018</w:t>
      </w:r>
    </w:p>
    <w:p>
      <w:pPr>
        <w:pStyle w:val="Heading2"/>
      </w:pPr>
      <w:r>
        <w:t>Regeste</w:t>
      </w:r>
    </w:p>
    <w:p>
      <w:r>
        <w:t>Arrêt de la Ie Cour des assurances sociales du Tribunal cantonal | Invalidenversicherung</w:t>
      </w:r>
    </w:p>
    <w:p>
      <w:pPr>
        <w:pStyle w:val="Heading2"/>
      </w:pPr>
      <w:r>
        <w:t>Erwägungen</w:t>
      </w:r>
    </w:p>
    <w:p>
      <w:r>
        <w:rPr>
          <w:b/>
        </w:rPr>
        <w:t>E. 25</w:t>
      </w:r>
    </w:p>
    <w:p>
      <w:r>
        <w:t>février 2008 en raison d'une violation du principe de libre appréciation des preuves du droit d'être entendu de l'intéressé (cause 9C_102/2007). Dans son arrêt du 12 février 2009 (cause 605 2008 104) faisant suite au renvoi, la Cour de céans a derechef rejeté le recours interjeté par l'assuré. Cet arrêt n'a pas été contesté. C. Le 3 juillet 2012, l'assuré a déposé une deuxième demande de prestations devant l'OAI, alléguant d'abord souffrir d'un blocage de la colonne depuis 2000. Par décision du 10 octobre 2012, l'OAI a refusé d'entrer en matière sur cette nouvelle demande. Le recours interjeté contre cette décision a été retiré. D. Le 1er octobre 2014, l'assuré a déposé une troisième demande de prestations devant l'OAI au motif qu'il souffrait de douleurs lombaires sévères et que son état de santé s'était aggravé en 2010 avec l'apparition d'un trouble dépressif récurrent. L'OAI a confié la réalisation d'une expertise bidisciplinaire au Dr E.________, spécialiste FMH en rhumatologie, et au Dr F.________, spécialiste FMH en psychiatrie et psychothérapie. Dans leurs rapports du 10 juin 2015, ceux-ci concluent à l'existence d'une capacité de travail entière dans une activité adaptée.</w:t>
      </w:r>
    </w:p>
    <w:p>
      <w:r>
        <w:t>Tribunal cantonal TC Page 3 de 13 Par décision du 24 mai 2017, reprenant un projet du 27 septembre 2016, l'OAI a rejeté la demande de prestations déposée par son assuré, se fondant sur un degré d'invalidité de 12.77%. E. Contre cette décision, l'assuré, représenté par Me Florence Bourqui, d'Intégration Handicap, interjette recours devant le Tribunal cantonal le 27 juin 2017 concluant, avec suite de frais et dépens, à l'octroi d'une rente entière. A l'appui de son recours, il soutient que l'expertise psychiatrique a été faite à charge et en conteste une partie des constats et conclusions. Il estime regrettable que l'autorité intimée hiérarchise les rapports médicaux et privilégie l'expertise sans réflexion alors que, à ses yeux, il convient, bien plus, de se référer aux rapports détaillés de ses médecins traitants. Il se plaint ensuite du fait que l'évaluation du caractère invalidant de ses troubles psychiatriques soit fondé sur l'ancienne jurisprudence applicable. A cet égard, il estime que, en application des nouveaux critères, l'ancienneté de ses troubles, la présence de comorbidités, l'absence de ressources et les pronostics négatifs justifient qu'une pleine incapacité de travail lui soit reconnue. Le 2 août 2017, l'assuré s'acquitte de l'avance de frais de CHF 800.- requise. Dans ses observations du 19 décembre 2017, l'OAI propose le rejet du recours, se référant intégralement aux rapports des experts qu'il estime entièrement probant. Dans le cadre d'un second échange d'écritures, les parties campent sur leurs positions. Autant qu’utiles à la solution du litige, il sera fait état des arguments développés par les parties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w:t>
      </w:r>
    </w:p>
    <w:p>
      <w:r>
        <w:t>Tribunal cantonal TC Page 4 de 13 invalide (art. 8 LPGA) à 40% au moins (al. 1). La rente est échelonnée selon le taux d'invalidité (al. 2). 3. Les atteintes à la santé psychique peuvent, comme les atteintes physiques, entraîner une invalidité au sens de l'art. 4 al. 1 LAI en liaison avec l'art. 7 al 1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3.1.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3.2.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w:t>
      </w:r>
    </w:p>
    <w:p>
      <w:r>
        <w:t>Tribunal cantonal TC Page 5 de 13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4. 4.1.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4.2.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4.3.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w:t>
      </w:r>
    </w:p>
    <w:p>
      <w:r>
        <w:t>Tribunal cantonal TC Page 6 de 13 au sens de l'art. 74ter let. f RAI, a valeur de base de comparaison dans le temps si elle résulte d'un examen matériel du droit à la rente (cf. arrêts TF 9C_46/2009 du 14 août 2009 consid. 3.1 in SVR 2010 IV n° 4 p. 7; 9C_910/2010 du 7 juillet 2011 consid. 3.2 a contrario). 5.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5.2.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5.3. Conformément à l'art. 59 al. 2, 1ère phr. LAI, les offices AI mettent en place des services médicaux régionaux interdisciplinaires. Selon l'art. 49 RAI, les services médicaux régionaux</w:t>
      </w:r>
    </w:p>
    <w:p>
      <w:r>
        <w:t>Tribunal cantonal TC Page 7 de 13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6. En l’espèce, le litige porte sur la question de savoir si l'état de santé du recourant s'est aggravé au point de justifier l'octroi de prestations AI, respectivement si la mise sur pied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Il s'agit ici de la décision du 18 mai 2007, confirmée par la Cour de céans dans ses arrêts des 18 janvier 2007 et 12 février 2009 (causes 5S 06 91 et 605 2008 104). A l'époque, les experts de C.________ posaient le diagnostic, avec incidence sur la capacité de travail, de trouble douloureux somatoforme persistant sous forme principalement de lombalgies et douleurs de l'épaule gauche, de discopathies dégénératives en L4-L5 et L5-S1 sous forme de protrusion discale sans hernie ni phénomène compressif, de tendinopathie de la coiffe des rotateurs de l'épaule gauche sous forme de syndrome sous-acromial et tendinopathie du supra épineux sans déchirure. En raison de ces troubles, ils estimaient que le recourant ne pouvait pas exercer de manière régulière une activité lourde mais que, en revanche, une activité adaptée sur le plan mécanique restait exigible à un taux d'au moins 60 % (dossier OAI, p. 101 et 124). Cependant, faisant référence aux critères alors applicables pour apprécier l'aspect invalidant d'un trouble somatoforme, la Cour avait constaté que le recourant ne présentait pas d'atteinte psychiatrique grave, qu'il ne souffrait d'aucune comorbidité psychiatrique et qu'il n'était pas fait état</w:t>
      </w:r>
    </w:p>
    <w:p>
      <w:r>
        <w:t>Tribunal cantonal TC Page 8 de 13 d'une perte d'intégration, ayant manifestement suffisamment de ressources pour changer de travail. La Cour s'était, dès lors, écarté de l'appréciation de la capacité de travail faite par les experts de C.________, qu'elle n'estimait pas convaincante sur ce point, et avait retenu que le recourant était en mesure de reprendre une activité professionnelle légère à plein temps mais avec un rendement quelque peu diminué, sans port de charges lourdes et avec alternance des positions. Ces réflexions n'ont pas été remises en cause par le Tribunal fédéral dans son arrêt 9C_102/2007 du 25 février 2008 dont le renvoi était en lien avec la violation du droit d'être entendu, violation réparée dans un arrêt du 12 février 2009 (cause 605 2008 104) qui n'a pas été contesté. Le droit à la rente a ainsi finalement été nié. 7. Il convient désormais d'examiner si l'état de santé du recourant s'est péjoré depuis lors de manière à influencer ses droits. 7.1. Sur le plan somatique, dans son rapport d'expertise du 10 juin 2015, le Dr E.________ fait état de "lombopygialgies [gauches] récurrentes chroniques sans signe radiculaire irritatif ou définicitaire" et d'"omalgies droites persistantes sans signe de conflit ou de tendinopathie" comme diagnostics invalidants. Pour ces motifs, il considère que la capacité de travail du recourant est nulle dans son ancienne activité d'ouvrier dans le génie civil, mais qu'elle est entière dans une activité lui évitant les ports de charge en porte-à-faux de manière répétée et les mouvements en- dessus de l'horizontale avec l'épaule droite de manière répétée. A son avis, "le bilan ne s'est pas péjoré de manière significative" depuis la dernière expertise de C.________ (dossier OAI, p. 480). Le rapport de l'expert-rhumatologue est fondé sur les pièces du dossier mis à sa disposition par l'autorité intimée, le dossier radiologique transmis par l'assuré ainsi que sur un entretien avec ce dernier le 10 juin 2015, fait en présence d'un interprète. A cette occasion, le recourant a pu décrire ses douleurs au niveau des cervicales, des lombaires, des épaules, des pouces et du genou gauche, lesquelles peuvent parfois l'empêcher de dormir. Pour sa part, l'expert a pu procéder à un examen complet. En outre, le médecin procède à une description claire du contexte médical et du raisonnement qu'il opère, fondant ses conclusions tant sur les pièces au dossier que sur le bilan radiologique et sur ses propres constats. L'appréciation de la situation médicale est donc claire et les conclusions dûment motivées, étant relevé que l'expert prend soin d'écarter la "composante psychiatrique sous-jacente". L'on doit conclure que l'expertise du Dr E.________ possède une pleine force probante. Cette expertise n'est, au demeurant, pas remise en cause par les autres pièces au dossier. En effet, les médecins interrogés n'attestent d'une péjoration de l'état de santé que sur le plan psychique. Par exemple, le médecin traitant, le Dr G.________, spécialiste en médecine interne générale, émet, certes, de nouveaux diagnostics d'ordre psychiques, soit un "syndrome démentiel d'allure neurodégénérative" et un "retard mental léger", mais il ne donne, par contre, pas de détails quant à une péjoration de l'état de santé sur le plan somatique (rapport du 16 janvier 2015, dossier OAI, p. 454; cf. ég. p. 311, 325 et 525).</w:t>
      </w:r>
    </w:p>
    <w:p>
      <w:r>
        <w:t>Tribunal cantonal TC Page 9 de 13 Partant, la Cour retient que l'état de santé physique du recourant n'a pas évolué de manière significative depuis la décision du 18 mai 2007 et qu'il demeure en mesure d'exercer à temps plein, sans perte de rendement, une activité lui évitant les ports de charge en porte-à-faux et les mouvements en-dessus de l'horizontale avec l'épaule droite. 7.2. Sur le plan psychique, dans son rapport d'expertise du 10 juin 2015, le Dr F.________ diagnostique un "syndrome douloureux somatoforme persistant, sans comorbidité psychiatrique handicapante (F45.4)" et une "majoration des symptômes physiques pour des raisons psychologiques (F68.0)". A ses yeux, ces troubles ne sont pas invalidants de sorte qu'il ne retient aucune incapacité de travail sur le plan psychiatrique (dossier OAI, p. 496). L'expert-psychiatre s'est d'abord fondé sur l'étude du dossier assécurologique ainsi que sur un entretien avec l'assuré du 9 juin 2015. Les plaintes que l'assuré a émises à cette occasion ont été prises en compte par l'expert, lequel en fait mention tant dans une rubrique qui y est consacrée qu'à l'occasion de la discussion du dossier. Lors de l'entretien, l'expert a eu l'occasion de procéder à des examens complets, y compris une prise de sang. Cette dernière a permis de détecter que les taux de Tramadol (antalgique), Seropram (antidépresseur), de (S)-Déméthylcitaloopram (antidépresseur) et de Chlorprothixène (neuroleptique) sont inférieurs aux taux recommandés ce qui conduit l'expert à conclure que "l'assuré ne prend pas les médicaments prescrits par ses médecins". On relèvera, en outre, qu'avant de procéder à l'entretien avec le recourant, l'expert-psychiatre avait mandaté H.________, psychologue, pour un examen neuropsychologique, lequel a eu lieu le 7 juillet 2015 en présence d'une psychologue lusophone. A cette occasion, H.________ a constaté des performances très faibles dans tous les domaines testés, mais a conclut que "le tableau, marqué par de nombreuses discordances, n'est pas celui d'une maladie neurodégénérative avancée". A titre d'exemple, elle a indiqué que l'assuré "se comporte aux tests comme, entre autres, un amnésique et un aphasique mais les performances ne correspondent pas à ce qu'il capable de faire en situation réelle". Ces considérations vont dans le sens des constats de l'expert, lequel note une "attitude extrêmement démonstrative par rapport à ses douleurs", une "forte discordance également entre la présentation clinique qui a été faite par le psychiatre de l'assuré et les activités journalières de ce dernier" et retient un diagnostic de majoration des symptômes. Le diagnostic de démence retenu par le médecin traitant ne s'accorde pas avec un tel tableau. 7.3. L'expertise est fondée sur des examens complets, en pleine connaissance de l'anamnèse et du contexte médical lesquels sont décrits de manière détaillée. Dans le cadre de la discussion, l'expert écarte de manière motivée – procédant par l'indication de divers points de réflexion – les conclusions de ses confrères. Pour sa part, il fonde ses propres conclusions tant sur ses constats que sur les pièces du dossier. Ainsi, par exemple, l'expert rejoint les conclusions diagnostiques des experts de C.________, dont notamment celui de "trouble douloureux somatoforme persistant", qu'il n'estime, pour sa part, pas invalidant. S'agissant particulièrement de la problématique de la capacité de travail, l'expert retient que les motifs d'exclusion (importante discordance entre les douleurs décrites et son comportement, douleurs décrites comme intenses mais de manière vague, compliance médicamenteuse mise en doute, environnement psychosocial peu atteint) justifient que ces troubles ne soient pas</w:t>
      </w:r>
    </w:p>
    <w:p>
      <w:r>
        <w:t>Tribunal cantonal TC Page 10 de 13 considérés comme invalidants. Au vu de leur importance en l'espèce, ce raisonnement est convaincant. C'est à juste titre que l'expert considère que ces motifs d'exclusion ne permettent pas d'admettre l'existence d'une atteinte à la santé invalidante. Quoi qu'il en soit, l'on constate que l'expertise met en exergue que de nombreux indicateurs ne vont pas dans le sens du caractère invalidant des troubles psychiatriques. Par exemple, en l'absence de compliance – ce qui n'est pas mis en doute par les allégations du psychiatre traitant, l'absence de compliance ne se mesurant pas uniquement aux composantes du Citalopram mais à quatre substances toutes à des doses très faibles – on ne peut pas conclure que celui-ci est un échec. Il n'existe aucune comorbidité psychiatrique ni maladies physiques totalement invalidante, de sorte qu'une cela ne saurait pas priver entièrement le recourant de ressources dans sa réadaptation. Il apparaît également que les limitations alléguées ne se manifestent pas de manière cohérente entre l'empêchement allégué total d'exercer une activité lucrative, même légère, et un assuré qui, aux dires de l'expert, se lève à six heures du matin, fait deux fois par jours un tour d'une heure et demi (voire plus s'il rencontre quelqu'un), mange avec sa famille à son domicile, aide aux commissions et conduit une voiture. Au vu de l'ensemble de ces indicateurs, les troubles psychiques retenus ne sauraient manifestement être considérés comme invalidants. Sur ce point, le travail de l'expert n'est, dès lors, pas criticable. 7.4. Le recourant se prévaut, pour sa part, des conclusions de ses psychiatres traitants lesquels attestent, à ses dires, de la péjoration de son état. 7.4.1. Dans son premier rapport, la Dresse I.________, spécialiste en psychiatrie et psychothérapie, émettait des diagnostics différentiels de "démence fronto-temporale (F02)" ou de "démence de la maladie d'Alzheimer, à démence de la maladie d'Alzheimer, à début précoce (F00.0)", et d'un "probable retard mental léger". Elle estimait alors que "les troubles cognitifs [du patient] ne lui permettent pas de travailler et qu'une demande à l'AI dans cette situation est totalement justifiée" (dossier OAI, p. 445). Son discours a cependant changé après l'hospitalisation du recourant dans son service au début de l'année 2015 (rapport du 23 février 2015, dossier OAI, p. 455). En effet, alors même qu'elle retient quatre diagnostics psychiatriques potentiellement invalidants, la psychiatre constate "une tendance à montrer sa souffrance par des moyens somatiques, par contre le patient ne présente aucune demande d'investiguer ses douleurs ou de les soulag[er]". Elle relève aussi que le contrôle laboratoire du taux de Citalopram et du chlorprothixène se révélait "largement infra-thérapeutique ce qui fait penser qu'à domicile le patient prend que occasionnellement ces médicaments". Elle souligne encore que "la famille n'a posé aucune question concernant la santé psychique et physique du patient, en s'intéressant uniquement à son droit de recevoir une rente AI". Suite à cette visite, la psychiatre n'atteste pas d'incapacité de travail, alors même que le recourant lui était adressé "pour une évaluation plus complète de ses difficultés sur le plan fonctionnel, afin d'argumenter une nouvelle demande de l'AI".</w:t>
      </w:r>
    </w:p>
    <w:p>
      <w:r>
        <w:t>Tribunal cantonal TC Page 11 de 13 Il apparaît ainsi que l'avis de la psychiatre ne va pas dans le sens de la thèse du recourant mais tend, bien plutôt, à confirmer le raisonnement de l'expert-psychiatre. Ce qui donne à penser, là encore, que les conclusions du médecin traitant relatives à l'existence d'un état de démence ne peuvent pas être suivies. 7.4.2. Pour leurs parts, le Dr J.________ et sa successeur, la Dresse K.________, tous deux spécialistes en psychiatrie et psychothérapie, retenaient, en dernier lieu, les diagnostics de "F33.1 trouble dépressif récurrent, épisode actuel moyen", de "F06.7 trouble cognitif léger à modéré" et de "F45.41 douleurs chroniques où interviennent des facteurs somatiques et psychiques". A leurs yeux, ces atteintes avaient "une influence importante sur la capacité de travail", qui est "toujours en incapacité de travail à 100%" (rapport du 18 novembre 2016, dossier OAI, p. 552; cf. ég. p. 442 et 545). Cette opinion, également reprise par le généraliste traitant, le Dr G.________, n'a pourtant pas convaincu le Dr L.________, spécialiste FMH en anesthésiologie, du Service médical régional. Celui-ci retient que "l'appréciation du psychiatre traitant, tant en ce qui concerne les diagnostics que la capacité de travail, repose sur les déclarations et attitudes de l'assuré, en application du postulait de sincérité nécessaire à toute relation thérapeutique. Dans le cas présent, étant donné l'attitude démonstrative, l'amplification des symptômes et la mauvaise collaboration dont fait preuve l'assuré, comme l'a démontré l'expert, l'application du postulat de sincérité conduit immanquablement à une appréciation de la pathologie et des limitations de l'assuré assez éloignées de la réalité médicale" (dossier OAI, p. 558). 7.5. A ce stade, la Cour souligne que les facteurs socio-économiques et leur incidence sur la capacité de travail du recourant ne figurent pas uniquement dans l'appréciation – contestée par le recourant – de l'expert-psychiatre. Ils avaient été pronostiqués de longue date et parsèment l'ensemble du dossier assécurologique de nombreux indices. Ainsi, outre les passages d'ores et déjà pris en compte dans le cadre du présent arrêt, le Dr M.________, spécialiste en neurochirurgie, relevait – qui plus est dans le premier rapport médical au dossier – qu'"au vu de la discordance radio-clinique et la chronicité des douleurs, le pronostic est sombre; le substrat organique sous-jacent n'est toutefois pas très clair" (rapport du</w:t>
      </w:r>
    </w:p>
    <w:p>
      <w:r>
        <w:rPr>
          <w:b/>
        </w:rPr>
        <w:t>E. 30</w:t>
      </w:r>
    </w:p>
    <w:p>
      <w:r>
        <w:t>juin 2002, dossier OAI, p. 46; cf. ég. p. 49, 51, 53, 55 et 198). Pour sa part, le Dr G.________ conseillait de "motiver le patient pour une reconversion professionnelle avant qu'il ne soit irrécupérable" (rapport du 28 août 2002, dossier OAI, p. 62). Dans son rapport du 28 septembre 2004, la Dresse N.________, spécialiste en rhumatologie et en médecine interne générale, affirmait que le recourant était "inconstant dans son comportement physique, exprimant nettement une surcharge psychogène, restant en permanence très plaintif. Il ne fait preuve d'aucune anticipation, sa motivation étant faible" (dossier OAI, p. 161). Enfin, le Dr E.________ mentionne l'existence d'une "discordance entre les plaintes de l'assuré, l'ampleur de la symptomatologie douloureuse et l'impotence fonctionnelle qu'il décrit dans ses activités de la vie quotidienne et professionnelle et les examens cliniques et paracliniques effectués jusqu'à ce jour" (dossier OAI, p. 480). Dans ces circonstances, l'on peut légitimement mettre en doute l'avis des Drs J.________ et K.________.</w:t>
      </w:r>
    </w:p>
    <w:p>
      <w:r>
        <w:t>Tribunal cantonal TC Page 12 de 13 On le rappelle, par ailleurs,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8. Au vu de tout ce qui précède, la Cour retient que le recourant n'est, certes, plus en mesure d'exercer son ancienne activité d'ouvrier du génie civil, mais demeure capable d'exercer à temps plein, sans perte de rendement, une activité lui évitant les ports de charge en porte-à-faux et les mouvements en-dessus de l'horizontale avec l'épaule droite. Il s'agit des limitations retenues par l'OAI. Les revenus de valide (CHF 68'562.-) et d'invalide (CHF 59'807.70.-) n'étant pas contestés et n'apparaissant pas devoir faire l'objet de critiques, l'on peut se référer à la comparaison des revenus faite par l'OAI et retenir un degré d'invalidité de 12.77%. Les conditions de la révision ne sont ainsi pas remplies. Le recours, mal fondé, doit être rejeté et la décision querellée confirmée. 9. Les frais de justice sont fixés à CHF 800.-. Ils sont compensés avec l'avance du même montant qui a été effectuée. Le recours ayant été rejeté sur le fond, il n'est enfin pas alloué d'indemnité de partie.</w:t>
      </w:r>
    </w:p>
    <w:p>
      <w:r>
        <w:t>Tribunal cantonal TC Page 13 de 13 la Cour arrête : I. Le recours est rejeté. II. Les frais de justice, fixés à CHF 800.-, sont mis à la charge du recourant; ils sont compensés par l'avance de frais CHF 800.-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