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132 vom 11. Juni 2018</w:t>
      </w:r>
    </w:p>
    <w:p>
      <w:r>
        <w:t>FR Kantonsgericht, 2018-06-11, DE</w:t>
      </w:r>
    </w:p>
    <w:p>
      <w:r>
        <w:rPr>
          <w:b/>
        </w:rPr>
        <w:t xml:space="preserve">Quelle: </w:t>
      </w:r>
      <w:r>
        <w:t>https://mcp.opencaselaw.ch/entscheid/fr_gerichte_605_2017_132</w:t>
      </w:r>
    </w:p>
    <w:p>
      <w:r>
        <w:t>FR: FR_GERICHTE 605 2017 132 du 11 juin 2018</w:t>
      </w:r>
    </w:p>
    <w:p>
      <w:r>
        <w:t>IT: FR_GERICHTE 605 2017 132 del 11 giugno 2018</w:t>
      </w:r>
    </w:p>
    <w:p>
      <w:pPr>
        <w:pStyle w:val="Heading2"/>
      </w:pPr>
      <w:r>
        <w:t>Regeste</w:t>
      </w:r>
    </w:p>
    <w:p>
      <w:r>
        <w:t>Arrêt de la Ie Cour des assurances sociales du Tribunal cantonal | Unfallversicherung</w:t>
      </w:r>
    </w:p>
    <w:p>
      <w:pPr>
        <w:pStyle w:val="Heading2"/>
      </w:pPr>
      <w:r>
        <w:t>Erwägungen</w:t>
      </w:r>
    </w:p>
    <w:p>
      <w:r>
        <w:rPr>
          <w:b/>
        </w:rPr>
        <w:t>E. 7</w:t>
      </w:r>
    </w:p>
    <w:p>
      <w:r>
        <w:t>décembre 2016, le médecin d'arrondissement conclut à l'existence d'une capacité de travail entière dans une activité adaptée. C. Parallèlement à cette procédure, le 10 novembre 2014, l'assuré a déposé une demande de prestations auprès de l'office de l'assurance-invalidité du canton de Fribourg (ci-après: OAI) suite à son accident (troubles somatiques). Par décision du 13 octobre 2015, celui-ci lui a reconnu le droit à une rente entière sur la base d'un degré d'invalidité de 100%. Début 2017, une procédure de révision a été initiée, avec mise sur pied d'une expertise bidisciplinaire (neurologie et psychiatrie) auprès de E.________. Dans leur rapport du</w:t>
      </w:r>
    </w:p>
    <w:p>
      <w:r>
        <w:rPr>
          <w:b/>
        </w:rPr>
        <w:t>E. 7.1</w:t>
      </w:r>
    </w:p>
    <w:p>
      <w:r>
        <w:t>Dans la décision litigieuse, la SUVA a considéré que son assuré est en mesure d'exercer une activité adaptée à temps plein. Cette appréciation renvoie à l'avis de son médecin d'arrondissement, la Dresse D.________, spécialiste FMH en neurochirurgie, dans son rapport du 7 décembre 2016. Celle-ci retient que le recourant n'est plus en mesure de travailler dans son ancienne activité, mais qu'il peut exercer, à 100% et sans perte de rendement, une activité respectant les limitations suivantes: "travail léger, principalement en position assise avec la possibilité de changer de position, pas de travail sur terrain irrégulier, ni échelles, ni contraintes pour le genou et le pied G" (dossier SUVA, pièces 298). Le recourant met en doute la valeur probante de cet avis médical, regrettant que le médecin d'arrondissement "se soit arrêté à une analyse purement mécanique du patient, en ce sens qu'il n'a pas tenu compte des douleurs de celui-ci". A ses yeux, "avec un tel tableau douloureux, il est absurde de vouloir persister à prétendre que l'assuré pourrait exercer une quelconque activité que ce soit". Ces seules assertions, qui se basent avant tout sur le ressenti subjectif (douleurs), ne sont que peu convaincantes.</w:t>
      </w:r>
    </w:p>
    <w:p>
      <w:r>
        <w:rPr>
          <w:b/>
        </w:rPr>
        <w:t>E. 7.2</w:t>
      </w:r>
    </w:p>
    <w:p>
      <w:r>
        <w:t>Cela étant, dans le présent cas, l'OAI a mandaté les médecins de E.________ pour expertise. Dans leur rapport du 8 décembre 2017, ceux-ci concluent, que "en ce qui concerne les limitations fonctionnelles, ces dernières ont été bien définies dans le cadre de l'examen pratiqué par [la Dresse D.________], à savoir un travail léger essentiellement sédentaire (position assise), avec néanmoins possibilité de changer régulièrement de position; pas de travail sur terrain irrégulier ni échelle. Dans l'ancienne activité, il est évident que la capacité de travail est nulle, de façon définitive. Dans un travail adapté respectant les limitations précitées, la capacité de travail est complète (plein temps avec un rendement de 100%)". Ils soulignent au passage l'existence de "quelques facteurs de majoration dans le cadre de l'expertise", d'une "légère discordance entre la présentation objective et l'importance de certaines plaintes subjectives" et "d'une composante émotionnelle liée à la colère, associée à un positionnement de victime, qui revendique une reconnaissance de son état et de sa situation" (dossier OAI, p. 43). Cette expertise possède une pleine force probante. Tribunal cantonal TC Page 8 de 10 Les experts se sont en effet fondés sur le dossier de l'assurance-invalidité – comprenant notamment les pièces de l'assureur-accidents – ainsi que deux entretiens avec l'assuré. A cette occasion, tant l'expert-neurologue que l'expert-psychiatre ont pu procéder à un examen complet du recourant. Celui-ci a pu, pour sa part, décrire ses douleurs et blocages, y compris leur péjoration régulière, et son état psychique, qu'il considère comme mauvais, faisant état d'une tentative de suicide. C'est donc sur la base d'une pleine connaissance du dossier que les experts ont retenu les diagnostics de "dysthymie", de "troubles de l'adaptation", d'"atteinte séquellaire du tronc du nerf sciatique" modérée à sévère et de "status après facture du col du fémur" qui a justifié la "mise en place d'une prothèse cotyloïdienne gauche en 2006", changée en 2013 et réintervention en 2015. Les experts discutent de manière détaillée des conclusions des autres médecins interrogés et, notamment, des médecins traitants. L'on rappellera, pour mémoire, que la demande a été déposée à suite de l'accident dans la baignoire, pour des raisons essentiellement physiques au départ. Il apparaît ainsi que les médecins de E.________ prennent position sur les critiques du recourant et confirment la pertinence des conclusions de la Dresse D.________. Dans la mesure où les experts confirment et reprennent expressément ces conclusions, il n'est pas relevant que leur avis médical soit ultérieur aux décisions ici contestées. En présence de conclusions concordantes, il n'apparait pas nécessaire de donner une suite favorable aux propositions de preuve du recourant et, notamment, qu'il soit procédé à son audition ainsi qu'à l'audition du médecin d'arrondissement et de sa cousine qui s'était chargée des traductions (cf. dossier OAI, p. 926).</w:t>
      </w:r>
    </w:p>
    <w:p>
      <w:r>
        <w:rPr>
          <w:b/>
        </w:rPr>
        <w:t>E. 7.3</w:t>
      </w:r>
    </w:p>
    <w:p>
      <w:r>
        <w:t>Enfin, on relèvera que la décision ici litigieuse n'est aucunement mise en doute par les autres avis médicaux au dossier. Le recourant ne s'en prévaut, au demeurant, pas. 7.3.1.En effet, la plupart des autres médecins interrogés n'examinent pas la problématique de la capacité de travail, qui plus est dans une activité adaptée. Tel est en particulier le cas du Dr F.________, spécialiste en médecine interne générale, du Dr G.________, spécialiste en médecine interne, et du Dr. H.________, spécialiste en neurologie. Ce dernier semble, au demeurant, même considérer que l'exercice d'une activité adaptée est exigible, sans perte de rendement (rapport du 29 décembre 2015, dossier OAI, p. 465; cf. ég. p. 405). Quant à la Dresse I.________, spécialiste en psychiatrie et psychothérapie, celle-ci n'examine que l'incidence des troubles psychiques, lesquels ne sont pas à la charge de l'assurance-accidents (cf. not. rapport du 31 mars 2016, dossier OAI, p. 362). 7.3.2.Seul le Dr J.________, spécialiste en chirurgie orthopédique, défend une position qui diverge de celle défendue par le médecin d'arrondissement et les experts de E.________. Dans ses rapports adressés à l'assurance-accidents, il n'examine jamais la question de la capacité de travail de son patient dans une activité adaptée. Depuis 2013, dans l'ensemble de ses rapports de suivi, le médecin indique qu'il "est trop tôt pour se prononcer" (cf. dossier SUVA, pièces 26, 38, 40, 130, 154, 160, 164, 172, 176, 178, 199, 229, 241, 249, 254, 268, 285, 305 et 340; cf. ég. dossier OAI, p. 463 et 1009). Tribunal cantonal TC Page 9 de 10 Cependant, à l'assurance-invalidité, il indique que "le patient marche avec deux cannes, une attelle Heidelberg; le périmètre de marche n'avoisine pas une vingtaine de minutes. Le patient n'est donc en aucun cas capable d'effectuer une quelconque activité" (rapport du 6 juin 2016, dossier OAI, p. 321; cf. ég. p. 385 et 858). L'on doit d'emblée constater que le médecin ne propose que ces quelques lignes très peu étayées pour toute motivation de l'incapacité de travail qu'il atteste à son patient. Même en tenant compte des rapports de suivis (lesquels indiquent qu'il "est trop tôt pour se prononcer"), cela reste court, d'autant plus en comparaison des 35 pages rédigés d'une écriture dense par les experts de E.________. Par ailleurs, le médecin semble se fonder, de manière non négligeable, sur les seuls dires de son patient. C'est ce qu'atteste, par exemple, son rapport du 28 septembre 2016 dans le cadre duquel il indique: "19.09.16: Amélioration d'après le [Dr. H.________] mais pas d'après le patient" (dossier SUVA, pièce 285). Cela va dans le sens que l’appréciation de l’incapacité de travail par le médecin traitant est influencée par la relation de confiance qui l’unit à son patient. Enfin, il ressort du dossier – et notamment de l'expertise – que des facteurs extra-médicaux, notamment psychosociaux (maîtrise de la langue, maladie de l'épouse, difficultés financières), conduisent le recourant à adopter une approche revendicatrice vis-à-vis de la SUVA et de l'OAI. De tels facteurs ne relèvent toutefois pas des assurances sociales. Ils peuvent cependant expliquer pourquoi une atteinte d'origine essentiellement physique a progressivement évolué vers la sphère psychique au gré du refus des assurances. Dans ces circonstances, il y a lieu d’attacher plus de poids à l’opinion concordante des experts et du médecin d'arrondissement. 8. Au vu de ce qui précède, la Cour retient que le recourant est en mesure d'exercer à temps plein et sans perte de rendement une activité légère, essentiellement assise avec la possibilité de changer de position, sans travail sur terrain irrégulier, sans échelles et sans contraintes pour le genou et le pied gauche. En l'occurrence, le salaire de valide de CHF 6'095.- correspond au salaire obtenu dans son ancienne activité, auquel ont été ajoutées les indemnités relatives aux heures de déplacement (dossier SUVA, pièce 333). Quant au salaire d'invalide de CHF 5'103.-, celui-ci est fondé sur la moyenne de cinq descriptions des postes de travail (sur un total de 82), lesquelles sont toutes conformes aux limitations du recourant. N'apparaissant pas être critiquables, ces deux montants peuvent être confirmés, étant relevé que le recourant ne fait aucune critique concrète à leur égard. Compte tenu d'un revenu de valide de CHF 6'095.- et d'un revenu d'invalide de CHF 5'103, la perte de gain se monte à CHF 992.-. Cela correspond à un degré d'invalidité de 16%. Tribunal cantonal TC Page 10 de 10 9. S’avérant au final intégralement mal fondé, le recours doit être rejeté et la décision sur opposition querellée est confirmée. La procédure étant gratuite en matière d’assurance-accidents, il n’est pas perçu de frais de justice. Il n’est enfin pas alloué de dépens au recourant qui n’obtient pas gain de cause. L'autorité intimée, institution privée chargée de tâches de droit public, n'a, pour sa part, pas droit à l'indemnisation de son mandataire. la Cour arrête : I. Le recours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2018/pte Le Président : Le Greffier-rapporteur :</w:t>
      </w:r>
    </w:p>
    <w:p>
      <w:r>
        <w:rPr>
          <w:b/>
        </w:rPr>
        <w:t>E. 8</w:t>
      </w:r>
    </w:p>
    <w:p>
      <w:r>
        <w:t>décembre 2017, les deux experts concluent à l'existence d'une capacité de travail complète dans une activité adaptée. Cette procédure de révision a abouti à un projet de suppression de rente du 22 janvier 2018, contesté par l'assuré. D. Entretemps, par décision du 20 mars 2017, la SUVA a reconnu à son assuré le droit à une rente sur la base d'un degré d'invalidité de 16% et une indemnité pour atteinte à l'intégrité fondée sur un taux de 10%. Limitée à la problématique du droit à la rente, cette décision a été confirmée sur opposition le</w:t>
      </w:r>
    </w:p>
    <w:p>
      <w:r>
        <w:rPr>
          <w:b/>
        </w:rPr>
        <w:t>E. 10</w:t>
      </w:r>
    </w:p>
    <w:p>
      <w:r>
        <w:t>mai 2017. Tribunal cantonal TC Page 3 de 10 E. Contre cette décision, l'assuré, représenté par Me Benoît Sansonnens, avocat, interjette recours devant le Tribunal cantonal concluant, avec suite de frais et dépens, à l'octroi d'une rente d'invalidité de 100%. A l'appui de son recours, se prévalant de la décision de l'OAI du 13 octobre 2015 lui reconnaissant un degré d'invalidité de 100%, il exige l'octroi d'une rente entière et soutient que son état de santé, en constante aggravation, l'empêche de retrouver un emploi. Il conteste également la valeur probante de l'avis du médecin d'arrondissement sur laquelle la SUVA a fondé le degré d'invalidité, affirmant que les conclusions de cette dernière sont en contradictions avec ce qu'elle lui avait dit à l'occasion de l'entretien, ainsi qu'à la traductrice présente. A cet égard, il demande l'audition par la Cour du médecin d'arrondissement et de la traductrice présente lors de l'examen. Dans ses observations du 13 novembre 2017, la SUVA, représentée par Me Antoine Schöni, avocat, propose le rejet du recours, renvoyant, pour l'essentiel, à l'avis de son médecin d'arrondissement qu'elle considère comme entièrement probant et nullement mis en doute par les allégués du recourant. Lors d'un second échange d'écriture, les parties campent sur leurs positions. Dans une intervention spontanée du 5 mars 2018, le recourant a demandé d'être entendu dans le cadre de "débats", à l'occasion desquels il sera en outre procédé à une audition du médecin d'arrondissement et de la traductrice présente lors de son examen. Autant qu’utiles à la solution du litige, il sera fait état des arguments développés par les parties à l’appui de leurs conclusions respectives dans les considérants en droit du présent arrêt.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 celle-ci soit, cas échéant, annulée ou modifiée. 2. 2.1. Conformément à l'art. 8 al. 1 de la loi du 6 octobre 2000 sur la partie générale du droit des assurances sociales (LPGA; RS 830.1), applicable par le biais de l'art. 1 al. 1 de la loi du 20 mars 1981 sur l'assurance-accidents (LAA; RS 832.20), est réputé invalidité l'incapacité de gain totale ou partielle qui est présumée permanente ou de longue durée.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2.2. Le droit à des prestations découlant d'un accident assuré suppose, entre l'événement dommageable de caractère accidentel et l'atteinte à la santé, un lien de causalité naturelle. Cette Tribunal cantonal TC Page 4 de 10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2.3. S'agissant plus particulièrement des troubles psychiques, la jurisprudence a posé plusieurs critères en vue de juger du caractère adéquat du lien de causalité adéquate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3.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3.1.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Tribunal cantonal TC Page 5 de 10 l'Office fédéral de la statistique (ATF 126 V 76 consid. 3b/aa et bb). On se réfère alors à la statistique des salaires bruts standardisés, en se fondant toujours sur la médiane ou valeur centrale (ATF 124 V 323 consid. 3b/bb). 3.2.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4.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Tribunal cantonal TC Page 6 de 10 conséquences de l'absence de preuves (ATF 125 V 195 consid. 2;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6. Il convient, dans un premier temps, d'examiner si les troubles d'ordre psychiatriques sont de la responsabilité de l'assurance-accidents, soit si la condition de la causalité adéquate entre les troubles psychiques et l'accident du 16 juin 2013 est remplie. En application de la méthode préconisée par le Tribunal fédéral, il est nécessaire d'apprécier le degré de gravité de l'accident du 16 juin 2013. Tribunal cantonal TC Page 7 de 10 L'assuré a glissé dans sa baignoire lorsqu'il allait prendre une douche. Cet événement doit être considéré comme insignifiant, voire, tout au plus, comme de peu de gravité. Au vu de son déroulement, il n'est manifestement pas propre à entraîner une atteinte à la santé psychique de la victime. Cet événement ne peut pas être tenu pour la cause adéquate des troubles psychiques dont se plaint le recourant. Partant, les affections psychiques n'engagent pas la responsabilité de l'assurance-accidents. 7. Est ensuite litigieuse, dans le cadre du droit à la rente, la question de la capacité de travail de l'assuré, laquelle dépend d'une appréciation médicale de son état de santé, ainsi que le taux d'invalidité qui en découle.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