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94 vom 23. Februar 2017</w:t>
      </w:r>
    </w:p>
    <w:p>
      <w:r>
        <w:t>FR Kantonsgericht, 2017-02-23, FR</w:t>
      </w:r>
    </w:p>
    <w:p>
      <w:r>
        <w:rPr>
          <w:b/>
        </w:rPr>
        <w:t xml:space="preserve">Quelle: </w:t>
      </w:r>
      <w:r>
        <w:t>https://mcp.opencaselaw.ch/entscheid/fr_gerichte_605_2016_94</w:t>
      </w:r>
    </w:p>
    <w:p>
      <w:r>
        <w:t>FR: FR_GERICHTE 605 2016 94 du 23 février 2017</w:t>
      </w:r>
    </w:p>
    <w:p>
      <w:r>
        <w:t>IT: FR_GERICHTE 605 2016 94 del 23 febbraio 2017</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w:t>
      </w:r>
    </w:p>
    <w:p>
      <w:r>
        <w:rPr>
          <w:b/>
        </w:rPr>
        <w:t>E. 2</w:t>
      </w:r>
    </w:p>
    <w:p>
      <w:r>
        <w:t>a) En vertu de l'art. 6 LAA, si la présente loi n’en dispose pas autrement, les prestations d’assurance sont allouées en cas d’accident professionnel, d’accident non professionnel et de maladie professionnelle. Selon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de l'ordonnance du 20 décembre 1982 afférente à la LAA [OLAA;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p. 191 consid. 1c). b)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w:t>
      </w:r>
    </w:p>
    <w:p>
      <w:r>
        <w:t>Tribunal cantonal TC Page 4 de 6 conclusions de l'expert soient dûment motivées (ATF 125 V 351 consid. 3a; 122 V 157; RAMA 1996 n°U 256 p. 217 et les références).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Selon la jurisprudence, un rapport médical établi sur la base d’un dossier a valeur probante si ledit dossier contient suffisamment d’appréciations médicales, qui elles, se fondent sur un examen personnel de l’assuré (RAMA 2001 no U 438 p. 345; arrêt du Tribunal fédéral U 233/02 du 14 juin 2004 consid. 3.1). Enfin, quant aux rapports émanant des médecins traitants, le juge peut et doit tenir compte du fait relevant de l'expérience que, de par sa position de confident privilégié que lui confère son mandat, le médecin traitant tranchera dans le doute en faveur de son patient (ATF 125 V 351 consid. 3b/cc et les références).</w:t>
      </w:r>
    </w:p>
    <w:p>
      <w:r>
        <w:rPr>
          <w:b/>
        </w:rPr>
        <w:t>E. 3</w:t>
      </w:r>
    </w:p>
    <w:p>
      <w:r>
        <w:t>Etait en l'espèce litigieuse la responsabilité de la SUVA vis-à-vis de la rechute annoncée le 15 juin 2015. Dans ses ultimes remarques, celle-ci a finalement accepté de prester. Cela va dans le sens du dossier. En effet, le Dr E.________, spécialiste FMH en chirurgie, du centre de compétence en médecine des assurances de la SUVA admet que "bien que nous n'ayons pas de renseignement au sujet de l'état de la cheville D de l'assuré avant l'accident, l'entorse de sa cheville D qui a eu lieu lors de cet accident, l'imagerie de cette cheville depuis l'accident et l'évolution de la symptomatologie de cette cheville dès lors rend pour le moins probable le fait que la lésion du versant antérolatéral du dôme de l'astragale […] corresponde à une fracture ostéochondrale provoquée par l'entorse de la cheville" (cf. rapport du 30 septembre 2016, joint aux ultimes remarques). Ainsi, le médecin du centre de compétence écarte expressément la thèse défendue par son collègue, le Dr F.________, spécialiste FMH en chirurgie orthopédique et traumatologie de l'appareil locomoteur, médecin d'arrondissement, qui retenait une atteinte d'origine maladive et non traumatique (cf. dossier SUVA, pièce 58). Son avis est fondé sur l'étude du dossier assécurologique – lequel comprend le compte rendu de nombreux examens et clichés radiologiques – et résume de manière détaillé les différentes pièces à sa disposition. Par ce biais, le médecin avait pleine connaissance de l'anamnèse et du contexte médical. S'appuyant sur la doctrine médicale, citant même expressément ses différentes sources, il motive clairement ses conclusions. Le Dr D.________ soutient une thèse semblable. Il affirme ainsi que "dans le cadre de son entorse du 8 juin 2012, [le recourant] souffre d'une ostéochondrite disséquante de son astragale externe à droite" (cf. contre-observations du 22 août 2016 et rapports du 29 avril 2015, du 4 septembre 2015 et du 14 septembre 2015, dossier SUVA, pièces 45, 54 et 60).</w:t>
      </w:r>
    </w:p>
    <w:p>
      <w:r>
        <w:t>Tribunal cantonal TC Page 5 de 6 L'on peut ainsi retenir que la rechute annoncée le 15 juin 2015 est bien en lien de causalité avec l'accident du 9 juin 2012. Partant, la responsabilité de l'assurance-accidents est engagée vis-à-vis des frais de traitement prodigués à la fin de l'année 2015</w:t>
      </w:r>
    </w:p>
    <w:p>
      <w:r>
        <w:rPr>
          <w:b/>
        </w:rPr>
        <w:t>E. 4</w:t>
      </w:r>
    </w:p>
    <w:p>
      <w:r>
        <w:t>Il ressort de l'ensemble qui précède que le recours, bien fondé, doit être admis et la décision querellée annulée. Partant, la cause est renvoyée à l'autorité intimée pour qu'elle fixe le droit du recourant aux prestations en lien avec la rechute annoncée le 15 juin 2015. Selon le principe de la gratuité de la procédure valant en la matière, il n'est pas perçu de frais de justice. Le recourant prétend à l'octroi d'une indemnité "pour les frais et le temps engendré par la présente procédure" ainsi qu'à l'indemnisation du Dr D.________ qu'il a mandaté dans le cadre de la présente procédure. De jurisprudence constante, une partie qui plaide sa propre cause n'a droit à des dépens pour le travail occasionné et les pertes de temps qu'à de strictes conditions, notamment que le travail dépasse le cadre de ce qu'elle doit normalement assumer dans la gestion de ses affaires personnelles (cf. RFJ 1996 p. 434 et les références). Tel n'est pas le cas en l'espèce. Ces conditions ne sont dès lors manifestement pas remplies de sorte qu'aucune indemnisation n'est due à ce titre. En revanche, il appartient à l'autorité intimée de prendre en charge l'indemnisation du Dr D.________ dont les contre-observations, faites sur mandat de son patient, ont permis de trancher les prestations ici litigieuses. En effet, ces dernières dépassent le contenu d'un rapport médical et correspondent à un mémoire présenté dans le cadre d'un échange d'écritures. Elles comprennent ainsi, en particulier, des motifs et des conclusions. A l'instar d'un avocat, le médecin est particulièrement qualifié pour représenter son patient et la présence de conclusion tendant à l'octroi de dépens permet de présumer que cette représentation a eu lieu contre honoraires (arrêt TF I 389/04 du 23 mai 2005 consid. 3 et les références). Le recourant a dès lors droit, sous cet angle uniquement, à une équitable indemnité de partie. Celle-ci est fixée ex aequo et bono à CHF 300.-, éventuelle TVA comprise. Elle est à la charge de l'autorité intimée qui succombe.</w:t>
      </w:r>
    </w:p>
    <w:p>
      <w:r>
        <w:t>Tribunal cantonal TC Page 6 de 6 la Cour arrête: I. Le recours est admis. Partant, la cause est renvoyée à l'autorité intimée pour qu'elle fixe le droit du recourant aux prestations en lien avec la rechute annoncée le 15 juin 2015. II. Il est alloué au recourant une équitable indemnité de partie fixée à CHF 300.-, éventuelle TVA comprise, et mise intégralement à la charge de l'autorité intimée. III. Il n'est pas perçu de frais de justice.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février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