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81 vom 22. März 2017</w:t>
      </w:r>
    </w:p>
    <w:p>
      <w:r>
        <w:t>FR Kantonsgericht, 2017-03-22, FR</w:t>
      </w:r>
    </w:p>
    <w:p>
      <w:r>
        <w:rPr>
          <w:b/>
        </w:rPr>
        <w:t xml:space="preserve">Quelle: </w:t>
      </w:r>
      <w:r>
        <w:t>https://mcp.opencaselaw.ch/entscheid/fr_gerichte_605_2016_81</w:t>
      </w:r>
    </w:p>
    <w:p>
      <w:r>
        <w:t>FR: FR_GERICHTE 605 2016 81 du 22 mars 2017</w:t>
      </w:r>
    </w:p>
    <w:p>
      <w:r>
        <w:t>IT: FR_GERICHTE 605 2016 81 del 22 marzo 2017</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aa)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w:t>
      </w:r>
    </w:p>
    <w:p>
      <w:r>
        <w:t>Tribunal cantonal TC Page 4 de 11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bb) Enfin, les facteurs psychosociaux et socioculturels ne constituent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3</w:t>
      </w:r>
    </w:p>
    <w:p>
      <w:r>
        <w:t>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w:t>
      </w:r>
    </w:p>
    <w:p>
      <w:r>
        <w:rPr>
          <w:b/>
        </w:rPr>
        <w:t>E. 6</w:t>
      </w:r>
    </w:p>
    <w:p>
      <w:r>
        <w:t>LPGA) d'au moins 40 % en moyenne durant une année sans interruption notable; c. au terme de cette année, il est invalide (art. 8 LPGA) à 40 % au moins (art. 28 al. 1 LAI).</w:t>
      </w:r>
    </w:p>
    <w:p>
      <w:r>
        <w:t>Tribunal cantonal TC Page 5 de 11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4. 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aa)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bb) Conformément à la jurisprudence constante du Tribunal fédéral (ATF 141 V 281 consid. 2.1 et 2.1.1; 130 V 352 consid. 2.2.5),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(arrêts TF 9C_699/2011 du 21 mai 2012 consid. 4.2 et 4.3; I 761/01 du 18 octobre 2002, in SVR 2003 IV n° 11 p. 31).</w:t>
      </w:r>
    </w:p>
    <w:p>
      <w:r>
        <w:t>Tribunal cantonal TC Page 6 de 11 cc)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5. a) Les pièces médicales suivantes ont été déposées au dossier dans le cadre de la procédure d’instruction : - La lettre à contenu médical du 5 novembre 2014 du Dr I.________, médecin spécialiste FMH en médecine interne, qui a noté que l’incapacité de travail de sa patiente était liée à un burn out (dossier AI pce p. 76, 101). - Le rapport médical du 27 novembre 2014 du Dr J.________, médecin spécialiste FMH en médecine du travail, de H.________, qui a diagnostiqué un trouble anxieux et dépressif mixte (F41.2). Un tableau des facteurs bio psychosociaux identifiés a été joint au rapport (dossier AI pce p. 70 à 75). - Le rapport d’expertise du 13 janvier 2015 du Dr E.________, médecin spécialiste FMH en psychiatrie et psychothérapie, qui n’a retenu aucun diagnostic avec répercussion sur la capacité de travail, mais a toutefois constaté les diagnostics sans répercussion sur la capacité de travail suivants : accentuation de traits de personnalité émotionnellement labile, actuellement stable (Z73.1); troubles de l’adaptation, réaction mixte anxieuse et dépressive, en rémission (F43.22); et majoration des symptômes psychiques pour des raisons psychologiques. Si l’expert a, dans l’anamnèse professionnelle laconiquement mentionné qu’un licenciement était intervenu en septembre 2004, il s’est étendu sur le sujet des difficultés professionnelles dans la partie « Appréciation et discussion ». L’expert a expressément exclu les conditions G1-G6 du CIM-10, ainsi que tout état dépressif et tout trouble cognitif. Il n’a pas non plus retenu d’anxiété généralisée ou de troubles du sommeil. Il a regretté ne pas avoir obtenu de réponse au questionnaire transmis au médecin traitant de l’assurée, en ce qui concerne la prise en charge psychiatrique. Le Dr E.________ a finalement conclu que le diagnostic le plus approprié était une accentuation de traits de personnalité émotionnellement labile, actuellement stable, et a dès lors estimé que la capacité de travail de l’assurée était entière dans toute activité à tout le moins à partir du jour de l’expertise (dossier AI pce p. 92 à 99). - La réponse (au questionnaire envoyé par le Dr E.________) du 16 janvier 2015 du Dr G.________, qui a exposé qu’il suivait l’assurée à raison d’entretiens hebdomadaires et qu’il avait diagnostiqué un épisode dépressif moyen avec syndrome somatique (F32.11), des troubles anxieux généralisés (F41.1) et un état de stress post-traumatique (F43.1). Il a conclu à une incapacité de travail totale de sa patiente (dossier AI pce p. 68 s., 88 s.). - Le complément d’expertise du 20 janvier 2015 du Dr E.________, qui a noté que les consultations médicales de l’assurée se tenaient une fois par semaine et a expressément confirmé les conclusions de son expertise (dossier AI pce p. 90). - La prise de position du 29 janvier 2015 du Dr K.________, médecin spécialiste FMH en médecine interne, médecin conseil de la D.________, qui a retenu une pleine capacité de travail de l’assurée dans son activité habituelle d’infirmière scolaire dans un autre environnement professionnel (dossier AI pce p. 87). - Le rapport médical du 13 mars 2015 du Dr G.________, médecin spécialiste FMH en psychiatrie et psychothérapie, qui, se déterminant sur le rapport d’expertise psychiatrique produit, a noté que ce rapport exposait l’anamnèse professionnelle de l’assurée de manière lacunaire alors qu’elle est</w:t>
      </w:r>
    </w:p>
    <w:p>
      <w:r>
        <w:t>Tribunal cantonal TC Page 7 de 11 au cœur de son problème. Il a estimé que les troubles cognitifs (mémoire et concentration) ont certainement été moins marqué lors de l’examen parce qu’elle a fait un effort pour mobiliser ses capacités dans un entretien dont elle connaît l’enjeu. Il a considéré que l’anxiété généralisée et les troubles du sommeil, réfutés par l’expert, était pourtant bien présente eu égard respectivement à la nervosité permanente qui l’anime notamment et aux cauchemars qui persistent. Le psychiatre a au demeurant précisé avoir renvoyé le questionnaire qui lui avait été soumis par l’expert dûment rempli 8 jours après réception. Il s’est ainsi étonné que son avis tout comme celui de H.________ n’aient pas été pris en considération. Le Dr G.________ a finalement considéré qu’en tant que limitations fonctionnelles il fallait considérer une fatigabilité intense ainsi que des troubles de la concentration pouvant conduire à une diminution de rendement, des erreurs dans les soins et une plus grande difficulté à s’organiser. En ce qui concerne la capacité de travail, il a estimé qu’elle était de 20% à ce jour, en raison d’une moindre tolérance au stress, d’une diminution de la rapidité et d’une moindre endurance. Le rendement serait à son sens réduit de 50% à tout le moins au regard des troubles cognitifs, des moments d’hébétude et de la difficulté à organiser la pensée. Il a donc, somme toute, conclu à une capacité de travail résiduelle de 10% dans l’activité habituelle (dossier AI pce p. 61 à 65). - Le complément d’expertise du 17 avril 2015 du Dr E.________, qui a « [l’assurée] ne présente pas une pathologie psychiatrique. […] Il faut bien comprendre qu’il s’agit d’une majoration de la symptomatologie, et toutes les responsabilités sont à la charge de [l’assurée] ». - Les rapports médicaux des 20 et 22 juillet 2015 du Dr G.________, qui a confirmé ses précédents diagnostics ainsi que conclu à une incapacité de travail totale du 13 octobre 2014 au 12 mars 2015 et de 90% du 13 mars au 31 juillet 2015 (dossier AI pces p. 77 à 81 et 159). - La prise de position du 7 août 2015 du Dr L.________, médecin spécialiste FMH en psychiatrie et psychothérapie, qui a estimé qu’aucune activité lucrative n’était exigible depuis le 13 octobre 2014, mais requis une instruction complémentaire (dossier AI pce p. 84). - Le rapport médical intermédiaire du 25 novembre 2015 du Dr G.________, qui a fait état d’un état de santé stationnaire (dossier AI pce p. 137 s.). - La prise de position du 19 janvier 2016 du Dr M.________, médecin spécialiste FMH en anesthésiologie, du SMR, qui a noté que l’assurée restait polarisée sur le procès pour mobbing en cours, ce qui l’empêche d’envisager une reprise d’activité. Il a ajouté qu’il n’y avait cependant aucune atteinte à la santé durable justifiant une incapacité de travail au sens de l’assurance- invalidité (dossier AI pce p. 143). - Divers certificats d’incapacité de travail émanant des médecins traitants de l’assurée (dossier AI pces p. 10 à 13, 102, 104, 110, 124 à 126, 128 à 130). Avec ses contre-observations du 6 septembre 2016, la recourante a encore déposé en cause le rapport médical du 26 août 2016 du Dr G.________, qui a essentiellement soutenu que les troubles cognitifs dont souffre sa patiente pouvaient avoir un retentissement sur sa capacité de travail. Enfin, l’autorité intimée, par écriture ampliative du 17 octobre 2016, a produit la prise de position du 14 octobre 2016 du Dr M.________, du SMR, qui a souligné que le rapport d’expertise psychiatrique avait une pleine valeur probante, que les diagnostics retenus étaient concordants avec les données cliniques rapportées et que les conclusions médico-assécurologiques étaient cohérentes avec les atteintes à la santé objectivées. En ce qui concerne l’appréciation du Dr G.________, il a précisé que les diagnostics retenus ne reposaient sur aucun élément médical</w:t>
      </w:r>
    </w:p>
    <w:p>
      <w:r>
        <w:t>Tribunal cantonal TC Page 8 de 11 objectifs : à titre d’exemple, il a souligné que le diagnostic d’état de stress post-traumatique (F43.1), qui présuppose la survenance à l’origine d’un événement stressant exceptionnel tels une catastrophe naturelle, une guerre, une torture, un viol, a été faussement posé ici, dans la mesure où un licenciement même conflictuel ne saurait être assimilé à un tel événement. Il a par ailleurs exposé que les limitations fonctionnelles constatées, qui empêcheraient l’assurée de travailler plus de 2 à 3 heures par semaines, reposent sur les seules allégations de l’assurée prétendant souffrir de troubles cognitifs importants, alors que ces derniers n’ont jamais été objectivés et en correspondent pas au fonctionnement quotidien de l’assurée. A son avis, le psychiatre traitant, qui a toujours attesté des mêmes diagnostics et d’un état stationnaire, n’a apporté aucun élément médical susceptible de remettre en question la validité des conclusions du rapport d’expertise psychiatrique. S’agissant de l’avis de H.________, il a noté que le trouble anxieux et dépressif mixte (F41.2) était par définition un trouble constitué de symptômes mineurs n’atteignant pas le seuil diagnostique ni d’un épisode dépressif ni d’un trouble anxieux et dont la gravité ne nécessite souvent pas de prise en charge médicale. A son sens, ce diagnostic, non invalidant, est très proche de celui de trouble de l’adaptation, réaction mixte anxieuse et dépressive (F43.22) retenu par l’expert. b) aa) Dans la présente occurrence, pour refuser à la recourante un droit à des prestations de l’assurance-invalidité, l’autorité intimée s’est essentiellement fondée sur le rapport d’expertise psychiatrique du 13 janvier 2015 du Dr E.________. La recourante a soutenu que ledit rapport n’était pas probant, dans la mesure où l’expert ne parlerait pas suffisamment bien le français, aurait manqué de professionnalisme durant l’entretien et n’aurait pas pris en considération le questionnaire du Dr G.________; ce dernier a par ailleurs noté que le rapport en question exposait l’anamnèse professionnelle de l’assurée de manière lacunaire alors qu’elle est au cœur de son problème. Certes, dans l’anamnèse professionnelle, l’expert s’est contenté de noter laconiquement qu’un licenciement était intervenu en septembre 2004. A la lecture de la partie « Appréciation et discussion », l’on relève cependant la mention du parcours professionnel de l’expertisée, y compris des problèmes relationnels et du mobbing qu’elle aurait subi dans sa dernière activité. On ne saurait dès lors, seulement parce que l’expert a choisi de présenter cette problématique de manière plus détaillée dans son appréciation, conclure que son rapport n’est pas probant. Quant au questionnaire du Dr G.________, il était destiné à fournir à l’expert des renseignements sur la prise en charge psychiatrique exclusivement, élément qui n’a pas d’influence directe sur les diagnostics et l’appréciation de la capacité de travail. En tout état de cause, une fois ces renseignements obtenus, l’expert s’est spontanément déterminé à leur égard dans son complément d’expertise du 20 janvier 2015 et a explicitement confirmé ses précédentes conclusions. Il convient de noter de plus que l’origine du rapport médical, la personne de l’expert, n’est pas déterminante et que c’est le rapport médical en lui-même qui doit être examiné au titre de moyen de preuve. Or, le rapport d’expertise en question a été rédigé dans un français tout à fait convenable, l’expert a personnellement reçu et examiné la recourante, les plaintes exprimées ont été prises en considération, les points litigieux importants ont fait l'objet d'une étude fouillée, l'appréciation médicale retenue est claire et univoque et les conclusions de l’expert sont dûment motivées. Aussi ledit rapport satisfait-il pleinement aux exigences définies par la jurisprudence en matière d'expertise médicale, ainsi que l’a exposé le Dr M.________ du SMR dans sa prise de position du 14 octobre 2016. C’est le lieu de noter qu’un épisode dépressif moyen avec syndrome somatique (F32.11) a seulement été évoqué par le Dr G.________ dans son rapport médical du 22</w:t>
      </w:r>
    </w:p>
    <w:p>
      <w:r>
        <w:t>Tribunal cantonal TC Page 9 de 11 juillet 2015. Ce diagnostic n’a ensuite été repris ni par l’expert psychiatre sollicité, ni par le Dr G.________ lui-même. La jurisprudence fédérale relative aux troubles somatoformes douloureux (cf. supra 2b.aa) ne s’applique donc pas dans la présente espèce. De surcroît, que l’expert ait lors de l’entretien formulé quelques remarques qui n’ont pas plu à la recourante ne suffit pas à conclure à sa prévention, tant s’en faut. En effet, un expert ne passe pour prévenu que lorsqu'il existe des circonstances objectives propres à faire naître un doute sur son impartialité, l'appréciation de ces circonstances ne pouvant pas reposer sur les seules impressions de l'expertisé (ATF 125 V 353 consid. 3b/ee; 123 V 176 consid. 3d et la référence citée) Or, dans le rapport d’expertise litigieux, rédigé de façon neutre et objective, rien ne suggère la prévention. bb) Contrairement à l’opinion de la recourante, l’appréciation médicale de son médecin traitant le Dr G.________ – faite sienne à son sens par la F.________ – ne saurait être préférée à celle de l’expert. Premièrement, parce que les diagnostics retenus par son médecin traitant ne semblent pas pertinents. Ainsi que cela ressort de la prise de position du 14 octobre 2016 du Dr M.________, il en va ainsi tant du diagnostic d’état de stress post-traumatique, attendu qu’un licenciement ne saurait en aucun cas être assimilé à un événement stressant exceptionnel tels une catastrophe naturelle ou un viol, que du diagnostic de troubles cognitifs, qui repose sur les seules allégations de l’assurée. Par ailleurs, le syndrome d’épuisement professionnel (burnout) n’est en tant que tel pas constitutif d’une atteinte à la santé invalidante (arrêt TF 8C_302/2011 consid. 2.3). Deuxièmement, parce que les conclusions de l’expert ont expressément été corroborées par le Dr M.________ du SMR et le Dr K.________. A noter qu’au moment de sa prise de position du</w:t>
      </w:r>
    </w:p>
    <w:p>
      <w:r>
        <w:rPr>
          <w:b/>
        </w:rPr>
        <w:t>E. 7</w:t>
      </w:r>
    </w:p>
    <w:p>
      <w:r>
        <w:t>août 2015, le Dr L.________ n’avait quant à lui manifestement pris connaissance que des seuls rapports du Dr G.________ et de H.________ et avait explicitement requis une instruction complémentaire. Il convient, troisièmement, de tenir compte du fait qu’un médecin traitant, vu la relation de confiance qui l’unit à son patient, est généralement enclin, en cas de doute, à prendre parti pour lui (cf. supra 4b.aa). Au vu du diagnostic retenu par l’expert, on peut également raisonnablement se demander si médecin traitant ne s’est pas laissé influencé par la majoration des symptômes de sa patiente. En outre, le diagnostic de trouble anxieux et dépressif mixte retenu par le médecin de H.________ est, ainsi que l’a relevé le Dr M.________ dans sa prise de position du 14 octobre 2016, un trouble constitué de symptômes mineurs n’atteignant pas le seuil diagnostique ni d’un épisode dépressif ni d’un trouble anxieux et dont la gravité ne nécessite souvent pas de prise en charge médicale. L’appréciation de l’H.________ et celle de l’expert n’apparaissent donc pas contradictoires, bien au contraire puisque le diagnostic retenu est très proche de celui de trouble de l’adaptation, réaction mixte et dépressive retenu par l’expert. Le rapport de H.________ ne contient par ailleurs aucune conclusion quant à la capacité de travail de l’assurée. En tout état de cause, sur le principe, l’assurance-invalidité n’est pas liée par les décisions qui peuvent être prises par les fondations de prévoyance. Dans la présente occurrence, l’autorité intimée ne saurait a fortiori être liée de la F.________, dans la mesure où cette dernière n’avait pas pris connaissance du rapport d’expertise psychiatrique au moment de rendre sa décision du 27 novembre 2015. Il sied de noter que, bien qu’invitée à se s’exprimer par l’autorité intimée, la F.________ a renoncé à se déterminer dans le cadre de la présente procédure.</w:t>
      </w:r>
    </w:p>
    <w:p>
      <w:r>
        <w:t>Tribunal cantonal TC Page 10 de 11 cc) En définitive, la Cour de céans retient que la recourante ne présente aucune affection avec répercussion sur la capacité de travail, mais seulement une majoration de la symptomatologie psychiatrique, diagnostic relevant exclusivement de facteurs extérieurs à l’assurance-invalidité. En l’occurrence, les preuves figurant au dossier ont permis à la Cour de céans de se convaincre que l'état de fait est établi de manière satisfaisante, au degré de la vraisemblance prépondérante, sans qu'il soit nécessaire de procéder à une expertise complémentaire (appréciation anticipée des preuves; cf. supra 4b.cc). dd) Certes l’expert a en fin de rapport précisé que ses conclusions étaient valables à tout le moins à partir du jour de l’expertise. Toutefois, dans la mesure où la demande de prestations a été déposée postérieurement au jour de l’expertise, l’art. 29 al. 1 LAI empêche qu’un droit à la rente ait pu prendre naissance avant ce jour. Par ailleurs, une aggravation de l’état de santé de la recourante postérieurement à l’expertise peut être exclue, aucun nouvel élément médical ayant été objectivement constaté. ee) L’autorité intimée était donc en droit de rejeter la demande de prestations AI de la recourante. 6. a) Partant, le recours (605 2016 81) doit être rejeté et la décision querellée confirmée. b) Eu égard au sort du litige, il n’est pas alloué de dépens. c) La recourante a déposé une requête d'assistance judiciaire gratuite totale (605 2016 82). aa) Selon l'art. 61 let. f 2ème phr., LPGA, applicable par le biais de l'art. 1 al. 1 LAI,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bb) S'agissant de la première condition, il ressort du dossier que la recourante ne bénéfice à ce jour d’aucun revenu hormis les pensions versées par la F.________ (CHF 3'292.40 pour 2015); de plus, elle est certes propriétaire d’une habitation (estimée à CHF 506'000.-) mais, dans la mesure où elle est également lourdement endettée (CHF 490'000.-), sa fortune n’apparaît pas aisément mobilisable. Partant, elle ne dispose pas de ressources suffisantes pour supporter les frais de la procédure introduite le 8 avril 2016 sans s’exposer à la privation des choses nécessaires à son existence et à celle de sa famille. S'agissant de la seconde des conditions, même si l'issue du litige est claire, on doit néanmoins admettre que le recours ne paraissait pas d'emblée dénué de toute chance de succès. En effet, l'Instance de céans a dû procéder à un examen approfondi notamment de l'expertise psychiatrique produite et de l’appréciation médicale soutenue par le médecin traitant de la recourante.</w:t>
      </w:r>
    </w:p>
    <w:p>
      <w:r>
        <w:t>Tribunal cantonal TC Page 11 de 11 Il s'ensuit que la requête d'assistance judiciaire gratuite totale (605 2016 82) doit être admise pour la présente procédure et que Me Patrick Mangold, avocat, est désigné comme défenseur d'office. La procédure n'étant pas gratuite (art. 69 al. 1bis LAI), les frais de justice, par CHF 800.-, sont mis à la charge de la recourante qui succombe. Ils ne sont toutefois pas prélevés, compte tenu de l'assistance judiciaire gratuite totale accordée. C'est également à ce titre qu'il sied d'indemniser Me Patrick Mangold, lequel a déposé sa liste de frais en date du 6 septembre 2016. Il se justifie ainsi de fixer l'indemnité à laquelle il peut ici prétendre, à CHF 981.20, soit 8 heures 55 minutes indemnisées au tarif horaire de CHF 110.- comme demandé (justifié ici par le fait que les opérations à réaliser ont été confiées à une avocate-stagiaire), plus CHF 43.20 au titre de débours (les frais d’ouverture de dossier n’étant pas pris en compte), plus CHF 81.95 au titre de la TVA à 8%, soit à un total de CHF 1'106.35. Cette indemnité est mise intégralement à la charge de l'Etat de Fribourg pour être directement versée au mandataire de la recourante. la Cour arrête: I. Le recours (605 2016 81) est rejeté. II. Il n’est pas alloué de dépens. III. La requête d'assistance judiciaire gratuite totale (605 2016 82) est admise pour la procédure de recours introduite le 8 avril 2016 (605 2016 81) et Me Patrick Mangold est désigné comme défenseur d'office. IV. L'indemnité directement allouée à ce dernier, en sa qualité de défenseur d'office, est fixée à CHF 1'106.35 (TVA par CHF 81.95) et mise intégralement à la charge de l'Etat de Fribourg. V. Les frais de procédure, par CHF 800.-, sont mis à la charge de A.________. Ils ne sont toutefois pas exigés d’elle, vu l’octroi l'assistance judiciaire gratuite totale.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2017/yho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