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75 vom 21. April 2017</w:t>
      </w:r>
    </w:p>
    <w:p>
      <w:r>
        <w:t>FR Kantonsgericht, 2017-04-21, DE</w:t>
      </w:r>
    </w:p>
    <w:p>
      <w:r>
        <w:rPr>
          <w:b/>
        </w:rPr>
        <w:t xml:space="preserve">Quelle: </w:t>
      </w:r>
      <w:r>
        <w:t>https://mcp.opencaselaw.ch/entscheid/fr_gerichte_605_2016_75</w:t>
      </w:r>
    </w:p>
    <w:p>
      <w:r>
        <w:t>FR: FR_GERICHTE 605 2016 75 du 21 avril 2017</w:t>
      </w:r>
    </w:p>
    <w:p>
      <w:r>
        <w:t>IT: FR_GERICHTE 605 2016 75 del 21 aprile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w:t>
      </w:r>
    </w:p>
    <w:p>
      <w:r>
        <w:t>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w:t>
      </w:r>
    </w:p>
    <w:p>
      <w:r>
        <w:rPr>
          <w:b/>
        </w:rPr>
        <w:t>E. 3</w:t>
      </w:r>
    </w:p>
    <w:p>
      <w:r>
        <w:t>Reste encore à examiner la gravité de la faute commise et la durée de la suspension. a) Selon l'art. 30 al. 3 3ème phr., et 3bis LACI, la durée de la suspension est proportionnelle à la gravité de la faute et ne peut excéder, par motif de suspension, 60 jours, et dans le cas de l'al. 1, let. g, 25 jours. Le Conseil fédéral peut prescrire une durée minimale pour la suspension. D'après l'art. 45 al. 3 de l'ordonnance du 31 août 1983 sur l'assurance-chômage obligatoire et l'indemnité en cas d'insolvabilité (OACI; RS 837.02) la durée de la suspension dans l'exercice du droit à l'indemnité est de 1 à 15 jours en cas de faute légère, de 16 à 30 jours en cas de faute de gravité moyenne et de 31 à 60 jours en cas de faute grave. Dans ce domaine, le juge ne s'écarte de l'appréciation de l'administration que s'il existe de solides raisons de le faire (ATF 123 V 150 consid. 2; arrêt TF C 351/01 du 21 mai 2002 consid. 2b/aa). b) Dans ses directives (voir Bulletin LACI Indemnité de chômage [IC] Marché du travail/Assurance-chômage), le Secrétariat d'Etat à l'économie a édicté une échelle des suspensions à l'intention des autorités cantonales. S'agissant du motif de suspension relatif à des Tribunal cantonal TC Page 5 de 6 recherches d’emploi insuffisantes pendant la période de contrôle, la faute est qualifiée de légère la première fois et donne lieu à une suspension du droit aux indemnités de trois à quatre jours timbrés (D72, ch. 1.C.1). c) En l'occurrence, c'est à juste titre que l'autorité intimée a considéré que la recourante avait commis une faute légère au sens de l'art. 45 al. 3 let. a OACI. Dans les circonstances du cas particulier, elle n'a commis aucun excès ou abus de son pouvoir d'appréciation en fixant à quatre jours la durée de la suspension. Celle-ci s'inscrit dans le barème des suspensions précitées s'agissant d'un tel manquement en cas de faute légère et il peut être admis qu’elle correspond à la part de responsabilité prise par la recourante dans la prolongation de sa situation de chômage. Elle ne prête dès lors pas le flanc à la critique.</w:t>
      </w:r>
    </w:p>
    <w:p>
      <w:r>
        <w:rPr>
          <w:b/>
        </w:rPr>
        <w:t>E. 4</w:t>
      </w:r>
    </w:p>
    <w:p>
      <w:r>
        <w:t>Partant, le recours du 26 mars 2016, mal fondé, doit être rejeté et la décision sur opposition du 26 février 2016 confirmée. En application du principe de la gratuité de la procédure valant en la matière (cf. art. 61 let. a LPGA), il n'est pas perçu de frais de justice. la Cour arrête: I. Le recours est rejeté. Partant, la décision sur opposition de suspendre le droit aux indemnités chômage de la recourante pour une durée de quatre jours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2017/mfa Tribunal cantonal TC Page 6 de 6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