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50 vom 10. März 2017</w:t>
      </w:r>
    </w:p>
    <w:p>
      <w:r>
        <w:t>FR Kantonsgericht, 2017-03-10, FR</w:t>
      </w:r>
    </w:p>
    <w:p>
      <w:r>
        <w:rPr>
          <w:b/>
        </w:rPr>
        <w:t xml:space="preserve">Quelle: </w:t>
      </w:r>
      <w:r>
        <w:t>https://mcp.opencaselaw.ch/entscheid/fr_gerichte_605_2016_50</w:t>
      </w:r>
    </w:p>
    <w:p>
      <w:r>
        <w:t>FR: FR_GERICHTE 605 2016 50 du 10 mars 2017</w:t>
      </w:r>
    </w:p>
    <w:p>
      <w:r>
        <w:t>IT: FR_GERICHTE 605 2016 50 del 10 marzo 2017</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Aux termes de l'art. 8 al. 1 de la loi du 6 octobre 2000 sur la partie générale du droit des assurances sociales (LPGA ; RS 830.1), applicable par le biais de l'art. 1 al. 1 de la loi du 19 juin 1959 sur l'assurance-invalidité (LAI ;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w:t>
      </w:r>
    </w:p>
    <w:p>
      <w:r>
        <w:rPr>
          <w:b/>
        </w:rPr>
        <w:t>E. 3</w:t>
      </w:r>
    </w:p>
    <w:p>
      <w:r>
        <w:t>a)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w:t>
      </w:r>
    </w:p>
    <w:p>
      <w:r>
        <w:t>Tribunal cantonal TC Page 4 de 8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rPr>
          <w:b/>
        </w:rPr>
        <w:t>E. 5</w:t>
      </w:r>
    </w:p>
    <w:p>
      <w:r>
        <w:t>Est en l’espèce essentiellement litigieuse la capacité de travail à retenir dans l’estimation du droit à la rente. Il s’agit en l’espèce de se référer au dossier médical. a) Les pièces suivantes ont été déposées dans le cadre de la procédure d’instruction : - Le protocole opératoire du 26 août 2013 du Dr F.________, médecin spécialiste FMH en chirurgie orthopédique et traumatologie de l’appareil locomoteur, qui a pratiqué une cure de la hernie discale L5-S1 droit. Une lésion intrinsèque de la racine S1 par le fragment discal a été constatée et une brèche de la dure-mère suturée (dossier AI pce p. 98). - Les rapports médicaux des 28 août, 29 novembre, 2 décembre 2013, 4, 14 février et 11 avril 2014 du Dr F.________, qui a noté peu de douleurs lombaires, à l’inverse de la sciatalgie droite. Il a retenu le diagnostic de pseudo-méningocèle en L5-S1, l’irritation de S1 droite pouvant entraîner des douleurs dans ce territoire, et planifié une ponction de la collection. Le médecin a conclu à une capacité de travail nulle à ce jour dans l’activité habituelle et de 50% puis 100% dans une activité adaptée aux limitations fonctionnelles. Il a mis son patient à l’arrêt de travail jusqu’au 9 janvier 2014. Il a par ailleurs mentionné une motivation à la reprise du travail partielle (dossier AI pces p. 64 à 67, 76 s., 93, 96 s. à 99 s.). - Les rapport et certificat du 3 septembre et le rapport du 7 octobre 2014 du Dr G.________, médecin spécialiste FMH en médecine interne, qui a fait état d’une situation clinique stationnaire. Il a estimé que l’activité habituelle n’était plus exigible, mais qu’une activité légère en position debout l’était à mi-temps. Le médecin a également mentionné une motivation à la reprise du travail partielle. Il a requis la mise en œuvre d’une expertise (dossier AI pces p. 101 à 103, 109, 112 s. ; cf. également p. 68 à 73). - La prise de position du 10 octobre 2014 du Dr H.________, médecin spécialiste FMH en anesthésiologie, du Service médical régional de l’assurance-invalidité (SMR), qui a estimé qu’aucun des médecins interrogés ne s’était prononcé sur les limitations fonctionnelles et la capacité de travail de l’assuré. Dans mesure où l’état de santé est désormais stabilisé, il a proposé qu’une expertise orthopédique soit diligentée (dossier AI pce p. 106). - Le rapport médical intermédiaire du 6 mars 2015 du Dr F.________, qui a fait état d’une situation clinique stationnaire, estimé que l’ancienne activité n’était plus exigible qu’à 80% et conclu à une baisse de rendement de 30% dans une activité adaptée, ce taux variant en fonction du travail trouvé (dossier AI pce p. 127 à 131).</w:t>
      </w:r>
    </w:p>
    <w:p>
      <w:r>
        <w:t>Tribunal cantonal TC Page 5 de 8 - Le rapport médical du 30 avril 2015 du Dr I.________, médecin spécialiste FMH en neurologie, qui a retenu les diagnostics de lombosciatalgies droites chroniques dans un contexte de status post cure de hernie discale L5-S1 droite et de lésion axonale subaiguë chronique de la racine S1 droite. Le neurologue a noté que l’assuré utilisait une canne en raison d’une sensation d’instabilité et d’une boiterie (cf. dossier AI pce p. 157). - Le rapport d’expertise du 2 juin 2015 du Dr J.________, médecin spécialiste FMH en chirurgie orthopédique et traumatologie de l’appareil locomoteur, qui a retenu, comme diagnostics avec répercussion sur la capacité de travail, un status post hernie discale L5-S1 droite avec lésion de la racine S1 droite par le fragment herniaire (diagnostic posé à l’imagerie du 6 juin 2013) et une lésion axonale chronique de la racine S1 droite (diagnostic posé à l’électrophysiologie d’avril 2015). A l’examen, l’expert a en particulier noté : « L'examen clinique du rachis est marqué par la quasi disparition de la flexion antérieure du rachis dans son ensemble. Ceci contraste néanmoins fortement avec la possibilité de poser le thorax sur les cuisses en position assise afin d'enlever les chaussettes. Les lombalgies, non signalées lors de l'interrogatoire, n'ont pas demandé de traitement depuis la consultation chez le neurologue du mois dernier. A la demande de l'assuré, le Lyrical est introduit depuis 24 heures. La position assise est annoncée comme intenable en raison de douleurs dans le membre inférieur droit qui doit être maintenu en permanence en extension complète. Ce qui est observé, en effet, au cours de l'entretien et de la lecture de l'imagerie. Il est donc surprenant de trouver l'assuré assis en position du lotus sur la table d'examen lors d'une période de repos. Comme l'avait déjà remarqué le médecin neurologue, la boiterie droite s'aggrave de façon caricaturale lors de l'examen clinique. Elle est quasi inexistante au moment d'entrer et de quitter le cabinet. […] La contradiction est flagrante, l'amplification des plaintes manifeste […] Quatre signes comportementaux de Waddell sont positifs ». En conclusion, le chirurgien orthopédiste a estimé que l’activité habituelle d’ouvrier dans la construction n’était certes plus exigible, mais qu’une activité adaptée respectant les limitations fonctionnelles de classe 2 était exigible à plein temps sans diminution de rendement depuis le 1er mars 2014, date de la guérison post-opératoire. Les limitations fonctionnelles de classe 2 (Restrictions modérées) inclues celles de classe 1 (Restrictions légères) à savoir « éviter d'accomplir de façon répétitive ou fréquente les activités qui impliquent de : soulever, porter, pousser, tirer des charges de plus de 15 à 25 kg ; travailler en position accroupie, ramper, grimper ; effectuer des mouvements avec des amplitudes extrêmes de flexion, d'extension ou de torsion de la colonne lombaire ; et subir de vibrations de basse fréquence ou des contrecoups à la colonne vertébrale (provoquées par du matériel roulant sans suspension par exemple) ». En plus des restrictions de la classe 1, « éviter les activités qui impliquent de : soulever, porter, pousser, tirer de façon répétitive ou fréquente des charges de plus de 5 à 15 kg ; effectuer des mouvements répétitifs ou fréquents de flexion, extension ou de torsion de la colonne lombaire, même de faible amplitude ; monter fréquemment plusieurs escaliers ; et marcher en terrain accidenté ou glissant » (dossier AI pce p. 135 à 161). Dans sa prise de position du 1er décembre 2015, le Dr H.________, du SMR, a exposé que le rapport d’expertise orthopédique était parfaitement probant et a noté qu’aucune nouvelle pièce médicale ne venait contredire ses conclusions (dossier AI pce p. 171). Dans le cadre de la présente procédure, le recourant a encore déposé en cause le rapport médical du 31 mai 2016 du Dr K.________, médecin spécialiste FMH en anesthésiologie et traitement</w:t>
      </w:r>
    </w:p>
    <w:p>
      <w:r>
        <w:t>Tribunal cantonal TC Page 6 de 8 interventionnel de la douleur, qui a conclu à l’inexigibilité de l’ancienne activité de maçon, mais a tout de même considéré qu’une activité légère permettant des changements de position réguliers devait être envisageable (dossier AI pce p. 207). b) En l’espèce, le rapport d’expertise du 2 juin 2015 du Dr J.________ répond parfaitement aux exigences jurisprudentielles relatives aux expertises. Il apparaît en particulier fouillé et clair, à tout le moins bien plus que la plupart des autres avis médicaux. Ledit rapport a dès lors une pleine valeur probante. Ses conclusions ne sont par ailleurs contredites par aucun autre rapport médical ne serait-ce que brièvement motivé : le Dr G.________ a certes d’abord retenu une capacité de travail réduite dans une activité légère, mais sans motiver sa position et en requérant ensuite explicitement une expertise ; le Dr F.________, même s’il a évoqué une baisse de rendement éventuelle de 30% (alors qu’il avait auparavant, pour un état de santé identique [« stationnaire »], considéré que son patient pouvait exercer une activité adaptée à 100%) a précisé que cette baisse dépendait du travail choisi ; le Dr H.________ a, quant à lui, souligné la valeur probante de l’expertise effectuée ; enfin, le rapport du Dr K.________ – unique pièce invoquée par le recourant – a clairement et expressément confirmé les conclusions de l’expertise. A tout cela s’ajoute encore le fait que l’expert, notamment par le truchement d’un test spécifique, a pu mettre en évidence une amplification des plaintes manifeste, dont les éventuels impacts ne sauraient à l’évidence engager la responsabilité de l’assurance-invalidité. La Cour de céans retient par conséquent, avec l’expert sollicité, que l’assuré était certes incapable de travailler durant la période post-opératoire du 23 août 2013 au 28 février 2014 (ce qui ne suffit pas à remplir la condition de l’art. 28 al. 1 let. b LAI) mais que, depuis le 1er mars 2014, s’il n’est plus en mesure de reprendre son ancienne activité de maçon, il n’en demeure pas moins apte à exercer à plein temps et sans diminution de rendement une activité de substitution adaptée à ses limitations fonctionnelles à l’exemple d’une activité dans le domaine de la production industrielle légère. En l’occurrence, les preuves figurant au dossier ont permis à la Cour de céans de se convaincre que l'état de fait est établi de manière satisfaisante, au degré de la vraisemblance prépondérante, sans qu'il soit nécessaire de procéder à une expertise complémentaire (appréciation anticipée des preuves ; cf. supra 5b). Ainsi, la capacité de travail, seule ici contestée, a-t-elle été correctement évaluée par l’OAI. Fondé sur celle-ci, le revenu d’invalide retenu à l’appui de la comparaison des revenus n’est dès lors sur le principe aucunement critiquable, cela d’autant moins qu’il n’est, à l’instar du revenu de valide, nullement contesté. Il découle de tout ce qui précède que le recours (605 2016 50) doit être rejeté et la décision querellée confirmée.</w:t>
      </w:r>
    </w:p>
    <w:p>
      <w:r>
        <w:rPr>
          <w:b/>
        </w:rPr>
        <w:t>E. 6</w:t>
      </w:r>
    </w:p>
    <w:p>
      <w:r>
        <w:t>a) Eu égard au sort du litige, il n’est pas alloué de dépens. b) Cela étant, le recourant a déposé une requête d'assistance judiciaire gratuite totale (605 2016 51) sur laquelle il y a enfin lieu de se déterminer. aa) Selon l'art. 61 let. f 2ème phr. LPGA, applicable par le biais de l'art. 1 al. 1 LAI, lorsque les circonstances le justifient, l'assistance judiciaire gratuite est accordée au recourant.</w:t>
      </w:r>
    </w:p>
    <w:p>
      <w:r>
        <w:t>Tribunal cantonal TC Page 7 de 8 Aux termes de l'art. 142 du code fribourgeois du 23 mai 1991 de procédure et de juridiction administrative (CPJA ;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Selon l’art. 143 CPJA, l'assistance judiciaire comprend, pour le bénéficiaire, la dispense totale ou partielle : a. des frais de procédure ; b. de l'obligation de fournir une avance de frais ou des sûretés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133 III 614 consid. 5, 129 I 129 consid. 2.3.1).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 bb) S'agissant de la première condition, il ressort du dossier que le recourant n’a pas de revenu et est soutenu par le Service social de B.________. Son indigence ne saurait a priori être remise en cause. S'agissant en revanche de la seconde condition, attendu que les conclusions de l’expertise produite ne sont contredites par aucun autre rapport médical, ne serait-ce que brièvement motivé, qu’une amplification manifeste des plaintes a pu être mise en évidence et que l’unique pièce médicale invoquée par le recourant a expressément confirmé les conclusions de l’expertise, force est de retenir que les perspectives de gagner le recours étaient notablement plus faibles que les risques de le perdre, dans ce litige où seule la capacité de travail résiduelle était contestée. La procédure apparaissait donc d'emblée vouée à l'échec pour un plaideur raisonnable, faute de n’avoir disposé d’aucun véritable grief. Sous cet angle, le recours apparaissait plus comme une contestation de principe à l’encontre d’une décision n’allant pas dans le sens de l’assuré.</w:t>
      </w:r>
    </w:p>
    <w:p>
      <w:r>
        <w:t>Tribunal cantonal TC Page 8 de 8 Par ailleurs, la difficulté de l'affaire ne justifiait probablement pas non plus la désignation d’un mandataire professionnel inscrit au barreau. A tout le moins pas dès lors que le recourant avait déjà personnellement déposé un mémoire de recours suffisamment clair et motivé pour permettre à la Cour de céans saisie, qui agit au demeurant en vertu de la maxime d’office, de se prononcer sur la base du dossier médical et cela sans même qu’aucun autre acte de procédure ne s’avère nécessaire (cf. à cet égard, arrêt TCNE du 11 novembre 1980 en la cause C. contre département de Justice, in RJN 1980-1981, p. 145). Il s'ensuit que la requête d'assistance judiciaire gratuite totale (605 2016 51) doit être rejetée. c) Eu égard à la situation financière précaire du recourant, il ne sera toutefois pas perçu de frais de procédure (art. 129 let. a CPJA). la Cour arrête: I. Le recours (605 2016 50) est rejeté. II. Il n’est pas alloué de dépens. III. La requête d'assistance judiciaire gratuite totale (605 2016 51) est rejetée. IV. Il n’est pas perçu de frais de procédure.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2017 /yho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