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223 vom 21. April 2017</w:t>
      </w:r>
    </w:p>
    <w:p>
      <w:r>
        <w:t>FR Kantonsgericht, 2017-04-21, FR</w:t>
      </w:r>
    </w:p>
    <w:p>
      <w:r>
        <w:rPr>
          <w:b/>
        </w:rPr>
        <w:t xml:space="preserve">Quelle: </w:t>
      </w:r>
      <w:r>
        <w:t>https://mcp.opencaselaw.ch/entscheid/fr_gerichte_605_2016_223</w:t>
      </w:r>
    </w:p>
    <w:p>
      <w:r>
        <w:t>FR: FR_GERICHTE 605 2016 223 du 21 avril 2017</w:t>
      </w:r>
    </w:p>
    <w:p>
      <w:r>
        <w:t>IT: FR_GERICHTE 605 2016 223 del 21 aprile 2017</w:t>
      </w:r>
    </w:p>
    <w:p>
      <w:pPr>
        <w:pStyle w:val="Heading2"/>
      </w:pPr>
      <w:r>
        <w:t>Regeste</w:t>
      </w:r>
    </w:p>
    <w:p>
      <w:r>
        <w:t>Arrêt de la Ie Cour des assurances sociales du Tribunal cantonal | Arbeitslosenversicherung</w:t>
      </w:r>
    </w:p>
    <w:p>
      <w:pPr>
        <w:pStyle w:val="Heading2"/>
      </w:pPr>
      <w:r>
        <w:t>Erwägungen</w:t>
      </w:r>
    </w:p>
    <w:p>
      <w:r>
        <w:rPr>
          <w:b/>
        </w:rPr>
        <w:t>E. 6</w:t>
      </w:r>
    </w:p>
    <w:p>
      <w:r>
        <w:t>Au vu de tout ce qui précède, le recours, pour autant que recevable, s’avère mal fondé. La procédure étant gratuite, il n’est pas perçu de frais de justice.</w:t>
      </w:r>
    </w:p>
    <w:p>
      <w:r>
        <w:t>Tribunal cantonal TC Page 7 de 7 Il n’est par ailleurs pas alloué de dépens au recourant qui succombe. la Cour arrête: I. Pour autant que recevable, le recours est rejeté. Partant, la décision sur opposition du 6 septembre 2016 est confirmée.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