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 vom 3. April 2017</w:t>
      </w:r>
    </w:p>
    <w:p>
      <w:r>
        <w:t>FR Kantonsgericht, 2017-04-03, DE</w:t>
      </w:r>
    </w:p>
    <w:p>
      <w:r>
        <w:rPr>
          <w:b/>
        </w:rPr>
        <w:t xml:space="preserve">Quelle: </w:t>
      </w:r>
      <w:r>
        <w:t>https://mcp.opencaselaw.ch/entscheid/fr_gerichte_605_2016_20</w:t>
      </w:r>
    </w:p>
    <w:p>
      <w:r>
        <w:t>FR: FR_GERICHTE 605 2016 20 du 3 avril 2017</w:t>
      </w:r>
    </w:p>
    <w:p>
      <w:r>
        <w:t>IT: FR_GERICHTE 605 2016 20 del 3 aprile 2017</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21. Januar 2016 gegen den Einspracheentscheid der Basler vom 23. Dezember 2015 ist fristgerecht bei der sachlich und örtlich zuständigen Beschwerdeinstanz eingereicht worden. Die Beschwerdeführerin hat ein schutzwürdiges Interesse, dass das Kantons- gericht, I. Sozialversicherungsgerichtshof, prüft, ob die Basler auch über den 1. September 2014 hinaus für die Schulterbeschwerden links leistungspflichtig ist. Auf die Beschwerde ist einzutreten.</w:t>
      </w:r>
    </w:p>
    <w:p>
      <w:r>
        <w:t>Kantonsgericht KG Seite 3 von 8</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 abläufen als die Wahrscheinlichste würdigt (Urteil BGer 8C_307/2016 vom 17. August 2016 E. 5.3 mit Hinweis auf BGE 138 V 218 E. 6). Ferner ist darauf hinzuweisen, dass die Formel "post hoc, ergo propter hoc", wonach eine gesund- heitliche Schädigung schon dann als durch den Unfall verursacht gilt, wenn sie nach diesem auf- getreten ist, nicht zur Anwendung kommt (BGE 119 V 335 E. 2b/bb). Weiter muss zwischen dem Unfallereignis und dem eingetretenen Schaden ein adäquater Kausal- zusammenhang bestehen. Nach der Rechtsprechung hat ein Ereignis dann als adäquate Ursache eines Erfolges zu gelten, wenn es nach dem gewöhnlichen Lauf der Dinge und nach der allgemei- nen Lebenserfahrung an sich geeignet ist, einen Erfolg von der Art des eingetretenen herbeizufüh- 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 salzusammenhang mit dem schädigenden Ereignis stehen. Der Voraussetzung des adäquaten Kausalzusammenhangs kommt dabei die Funktion einer Haftungsbegrenzung zu (BGE 125 V 456 E. 5c; 123 V 98 E. 3b mit Hinweisen). c) Wird durch einen Unfall ein krankhafter Vorzustand verschlimmert oder überhaupt erst manifest, entfällt die Leistungspflicht des Unfallversicherers erst, wenn der Unfall nicht die natür- liche und adäquate Ursache des Gesundheitsschadens darstellt, wenn also Letzterer nur noch und ausschliesslich auf unfallfremden Ursachen beruht. Dies trifft dann zu, wenn entweder der (krank- hafte) Gesundheitszustand, wie er unmittelbar vor dem Unfall bestanden hat (status quo ante),</w:t>
      </w:r>
    </w:p>
    <w:p>
      <w:r>
        <w:t>Kantonsgericht KG Seite 4 von 8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Bedeutung verloren haben, also dahingefallen sind (Urteil BGer 8C_160/2012 vom 13. Juni 2012 E. 2 mit Hinweisen). d)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Vorliegend ist streitig, ob die Basler über den 1. September 2014 hinaus für die geltend ge- machten Schulterbeschwerden links leistungspflichtig ist. a) Die Beschwerdeführerin bringt vor, die Behandlung sei nie abgeschlossen worden. Ge- mäss der Ansicht ihrer behandelnden Ärzte würden klar Unfallfolgen vorliegen. Ferner stellt sie in Frage, ob die Vertrauensärztin der Basler über das vollständige Dossier verfügte. b) Die Basler ihrerseits ist der Ansicht, auf die Berichte der Vertrauensärztin könne abge- stellt werden. Die heute geltend gemachten Beschwerden seien degenerativer Art. Auch würden Berichte der behandelnden Ärzte allein für eine Leistungszusprache in der Regel nicht genügen. c) Gemäss der Unfallmeldung vom 3. Mai 2013 (UV-Akten, Nr. 50) ist die Beschwerde- führerin am 20. März 2013 auf der vereisten Strasse ausgerutscht. Schulter und Kopf seien betrof- fen ohne nähere Angaben. Der Hausarzt, Dr. med. D.________, Facharzt FMH für Allgemeine Innere Medizin, notierte am 27. Mai 2013 (UV-Akten, Nr. 37) als Befund ein geschwollenes AC-Gelenk rechts sowie Beulen frontal links. Als vorläufige Diagnosen hielt er ein Schädelhirntrauma sowie eine AC-Gelenksluxa- tion rechts fest. Von ihm veranlasste bildgebende Untersuchungen (nicht im Dossier) ergaben</w:t>
      </w:r>
    </w:p>
    <w:p>
      <w:r>
        <w:t>Kantonsgericht KG Seite 5 von 8 keine Frakturen im Schädel-/Hirnbereich, aber eine AC-Gelenksluxation, wobei gemäss dem Pa- tientenjournal (UV-Akten, Nr. 45) von einem Grad II auszugehen sei. Dem Patientenjournal ist fer- ner zu entnehmen, dass die linke Schulter betroffen sei, weshalb die Nennung der rechten Schul- ter im Bericht vom 27. Mai 2013 als falsche Angabe angesehen werden muss. Er attestierte eine volle Arbeitsunfähigkeit vom 21. bis zum 27. März 2013. Ab dem 28. März bestand wieder eine halbe und ab dem Folgetag eine volle Arbeitsfähigkeit. Der Behandlungsabschluss sei am 8. Mai 2013 erfolgt. Gemäss dem über weite Teile unleserlichen Patientenjournal gab es am 3. Juni 2013 eine weitere Konsultation. Das AC-Gelenk sei noch geschwollen, die Beschwerdeführerin habe aber keine Schmerzen mehr. Gemäss der Fortsetzung des Journals (UV-Akten, Nr. 44) erfolgten weitere Konsultationen am 1. Juli 2013 (weitere Angaben unleserlich) sowie am 9. September 2013 (AC-Gelenk während der Nacht noch dolent; ansonsten unleserlich). Gemäss einem Arthro-MRI der linken Schulter vom 14. April 2014 (UV-Akten, Nr. 39) habe vor einem Jahr ein Sturz auf die linke Schulter stattgefunden mit Verdacht auf AC-Gelenksverletzung. Die aktuelle klinische Untersuchung spreche eher für eine Supraspinatusläsion: "Im Arthro-MRI, Zeichen eines subakromialen Impingements, unter einem nach latero-inferior gekippten Akromion. Der subakromiale Raum beträgt ca. 8 mm. Die Supraspinatussehne bleibt trotzdem von normalem Kaliber, nur leicht inhomogen im Sinne einer Tendopathie. Keine Hinweise auf eine partielle oder vollständige Ruptur. Normale Darstellung der Infraspinatussehne und Muskel sowie des Teres mi- nor. Kein Nachweis einer Läsion im Bereich der Subscapularissehne. Normaler Kaliber, Binnen- struktur und Verlauf der langen Bizepssehne. Kein Nachweis eines pathologischen Befundes im glenohumeralen Bereich. Inkongruenz des akromioklavikulären Gelenkes mit vermehrten Abstand und arthrotischen Veränderungen." Insgesamt sei das MRI vereinbar mit posttraumatischen Ver- änderungen im akromioklavikulären Gelenk links, mit vermehrtem Abstand und arthrotischen Ver- änderungen. Es bestehe ein subakromiales Impingement mit Zeichen einer leichtgradigen Tendo- pathie der Supraspinatussehne. Im Übrigen normale Untersuchung der linken Schulter. Dr. med. E.________, Fachärztin FHM für Rheumatologie und Allgemeine Innere Medizin, diagnostizierte am 27. August 2014 (UV-Akten, Nr. 43) eine Schulterkontusion sowie eine Bursitis subacromiodeltoidea links ohne Zeichen für eine Ruptur. Auf dieser Grundlage äusserte sich die Vertrauensärztin der Basler, Dr. med. F.________, Fachärztin FMH für orthopädische Chirurgie und Traumatologie des Bewegungsapparates, am</w:t>
      </w:r>
    </w:p>
    <w:p>
      <w:r>
        <w:rPr>
          <w:b/>
        </w:rPr>
        <w:t>E. 4</w:t>
      </w:r>
    </w:p>
    <w:p>
      <w:r>
        <w:t>Zusammenfassend ist mit überwiegender Wahrscheinlichkeit davon auszugehen, dass die aktuell geltend gemachten Schulterbeschwerden nicht in einem Zusammenhang mit dem Unfall vom 20. März 2013 stehen, weshalb die Basler zu Recht ihre Leistungspflicht über den 1. Septem- ber 2014 hinaus abgelehnt hat. Der Einspracheentscheid vom 23. Dezember 2015 ist zu bestä- tigen und die Beschwerde abzuweisen. Gemäss dem hier zur Anwendung kommenden Prinzip der Kostenlosigkeit des Verfahrens werden keine Gerichtskosten erhoben. Dem obsiegenden Versicherungsträger steht als Beschwerdegegner kein Anspruch auf Parteient- schädigung zu (Art. 61 lit. g ATSG).</w:t>
      </w:r>
    </w:p>
    <w:p>
      <w:r>
        <w:t>Kantonsgericht KG Seite 8 von 8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 April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