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13 vom 2. Mai 2017</w:t>
      </w:r>
    </w:p>
    <w:p>
      <w:r>
        <w:t>FR Kantonsgericht, 2017-05-02, FR</w:t>
      </w:r>
    </w:p>
    <w:p>
      <w:r>
        <w:rPr>
          <w:b/>
        </w:rPr>
        <w:t xml:space="preserve">Quelle: </w:t>
      </w:r>
      <w:r>
        <w:t>https://mcp.opencaselaw.ch/entscheid/fr_gerichte_605_2016_13</w:t>
      </w:r>
    </w:p>
    <w:p>
      <w:r>
        <w:t>FR: FR_GERICHTE 605 2016 13 du 2 mai 2017</w:t>
      </w:r>
    </w:p>
    <w:p>
      <w:r>
        <w:t>IT: FR_GERICHTE 605 2016 13 del 2 maggio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l'autorité judiciaire compétente par un assuré directement touché par la décision sur opposition attaquée, le recours est recevable.</w:t>
      </w:r>
    </w:p>
    <w:p>
      <w:r>
        <w:rPr>
          <w:b/>
        </w:rPr>
        <w:t>E. 2</w:t>
      </w:r>
    </w:p>
    <w:p>
      <w:r>
        <w:t>En vertu de l'art. 6 al. 1 LAA,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3</w:t>
      </w:r>
    </w:p>
    <w:p>
      <w:r>
        <w:t>a) Aux termes de l'art. 18 LAA, si l’assuré est invalide (art. 8 LPGA) à 10% au moins par suite d’un accident, il a droit à une rente d’invalidité.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Conformément à l’art. 8 al. 1 LPGA, applicable par le renvoi de l'art. 1 al. 1 LAA, est réputée invalidité l’incapacité de gain totale ou partielle qui est présumée permanente ou de longue durée. Selon l'art. 7 al. 2 LPGA, seules les conséquences de l'atteinte à la santé sont prises en compte pour juger de la présence d'une incapacité de gain.</w:t>
      </w:r>
    </w:p>
    <w:p>
      <w:r>
        <w:t>Tribunal cantonal TC Page 4 de 10 b) En application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1b/VSI 2000 p. 314 et les références citées).</w:t>
      </w:r>
    </w:p>
    <w:p>
      <w:r>
        <w:rPr>
          <w:b/>
        </w:rPr>
        <w:t>E. 4</w:t>
      </w:r>
    </w:p>
    <w:p>
      <w:r>
        <w:t>a) Dans le catalogue des prestations de l'assurance-accidents figurent en outre le droit au traitement médical (art. 10 et 54 LAA). Conformément à l'art. 10 al. 1 et à l'art. 54 LAA, l’assuré a droit au traitement médical approprié des lésions résultant de l’accident dans les limites de ce qui est exigé par le but du traitement (ATF 109 V 43 consid. 2a). L’assuré dispose de ce droit au traitement médical aussi longtemps que la poursuite de celui-ci laisse espérer une amélioration notable de l’état de santé (arrêt TF U 262/98 du 9 mai 2000 consid. 2a; ATF 116 V 44 consid. 2c). b) L’art. 21 al. 1 LAA prévoit que lorsque la rente a été fixée, les prestations pour soins et remboursement de frais (art. 10 à 13) sont accordées à son bénéficiaire dans les cas suivants: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L’art. 21 al. 3 1ère phrase LAA précise encore qu’en cas de rechute et de séquelles tardives, le bénéficiaire de la rente peut prétendre non seulement à la rente, mais également aux prestations pour soins et au remboursement de frais (art. 10 à 13).</w:t>
      </w:r>
    </w:p>
    <w:p>
      <w:r>
        <w:rPr>
          <w:b/>
        </w:rPr>
        <w:t>E. 5</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w:t>
      </w:r>
    </w:p>
    <w:p>
      <w:r>
        <w:t>Tribunal cantonal TC Page 5 de 10 cause à effet entre l'accident et le dommage paraît possible, mais qu'elle ne peut pas être qualifiée de probable dans le cas particulier, le droit à des prestations fondées sur l'accident assuré doit être nié (ibidem).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27.03.2014 consid. 4.3.1; ATF 134 V 109 consid. 10; 117 V 359 consid. 6 et 369 consid. 4; 115 V 133 consid. 6 et 403 consid. 5). Selon la jurisprudence,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(arrêt TF 8C_354/2011 du 3 février 2012 consid. 2.2; cf. ATF 134 V 109 consid. 6.1).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(arrêt TF 8C_354/2011 du 3 février 2012 consid. 2.3; ATF 115 V 133 consid. 6 c/bb; 403 consid. 5 c/bb). L’examen du rapport de causalité adéquate est superflu lorsque, sur la base de l’appréciation médicale, le lien de causalité naturelle entre l’événement assuré et les troubles signalés n’a pas</w:t>
      </w:r>
    </w:p>
    <w:p>
      <w:r>
        <w:t>Tribunal cantonal TC Page 6 de 10 été prouvé à tout le moins selon le critère de la vraisemblance prépondérante (arrêt TF U 297/01 du 8 août 2002 consid. 3.3; ATF 119 V 335 consid. 4c).</w:t>
      </w:r>
    </w:p>
    <w:p>
      <w:r>
        <w:rPr>
          <w:b/>
        </w:rPr>
        <w:t>E. 6</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ATF 131 I 153 consid. 3; 130 II 425 consid. 2).</w:t>
      </w:r>
    </w:p>
    <w:p>
      <w:r>
        <w:rPr>
          <w:b/>
        </w:rPr>
        <w:t>E. 7</w:t>
      </w:r>
    </w:p>
    <w:p>
      <w:r>
        <w:t>En l’espèce, d’une part, il convient de déterminer si la SUVA doit prester pour les soins et rembourser les frais du recourant au-delà du 4 novembre 2015. Dans la mesure où une rente d’invalidité au sens de l’art. 19 LAA a été accordée au recourant par une décision entrée en force de chose jugée, le droit à des prestations pour soins et remboursement de frais doit être examiné à l’aune de l’art. 21 al. 1 LAA et non plus de l’art. 10 al. 1 LAA. D’autre part, le recourant ayant soutenu que son état de santé s’était aggravé depuis l’accident, la question de savoir si le droit à la rente d’invalidité du recourant doit être révisé doit être examinée. Il s'agit dès lors de déterminer si son état de santé a subi une modification notable susceptible d'influencer son degré d'invalidité au sens de l’art. 17 LPGA. Pour répondre à cette question, il convient de comparer la situation médicale au moment du dernier examen matériel du droit,</w:t>
      </w:r>
    </w:p>
    <w:p>
      <w:r>
        <w:t>Tribunal cantonal TC Page 7 de 10 effectué lors de la décision sur opposition du 18 novembre 2011, avec celle existant au moment de la décision querellée. a) Dans sa décision sur opposition du 18 novembre 2011, la SUVA a fait siennes les conclusions de son médecin d’arrondissement le Dr F.________, médecin spécialiste FMH en médecine interne générale, qui a retenu comme séquelles de la contusion du 9 septembre 2009 des douleurs au niveau du coude, sous forme de décharges électriques, une légère hypomyotrophie du deltoïde et une diminution mineure de la force de la main. Ce médecin a également relevé que l’importance des plaintes invoquées était en discordance avec les éléments cliniques objectivables. Il a finalement conclu à une pleine capacité de travail de l’intéressé dans un travail de type industriel (avec une limitation de soulèvement de poids de plus de 15 kg et de travail avec des instruments générant des vibrations importantes). Un taux d’invalidité de 16% a dès lors été reconnu à l’assuré. Dans son arrêt 605 2011 426 et 605 2012 304 du 27 juin 2014, la Cour de céans a considéré, avec les experts mandatés par l’assurance-invalidité les Drs G.________, médecin spécialiste FMH en rhumatologie, H.________, médecin spécialiste FMH en neurologie, et I.________, médecin spécialiste FMH en psychiatrie et psychothérapie, que l’assuré ne souffrait pas d’une lésion organique objectivable mais présentait des facteurs non organiques non négligeables. Il a ainsi été retenu que, d’une part, en raison de l'impossibilité même d'identifier un nerf à l'origine de la douleur, respectivement une lésion sur un nerf, malgré nombre d'investigations et, d'autre part, en raison des facteurs non organiques mis en évidence par le corps médical, il n'y avait manifestement pas lieu d'attendre un résultat significatif du traitement par stimulation médullaire. Le tribunal a par ailleurs retenu l’appréciation de la capacité de travail du Dr F.________, confirmée par le Dr J.________, médecin spécialiste FMH en chirurgie orthopédique et médecin d’arrondissement de la SUVA. b) Depuis lors, respectivement depuis la décision sur opposition du 29 juin 2012 sur laquelle a porté le recours 605 2012 304, les pièces médicales suivantes ont été déposées au dossier: - Le rapport médical du 5 octobre 2012 du Dr K.________, médecin spécialiste FMH en neurologie, qui a conclu à l’existence d’un trouble somatoforme douloureux et précisé qu’il était difficile de trancher entre une simulation, un syndrome de conversion et une autre affection psychiatrique (dossier SUVA pce 210). - Le rapport du 14 janvier 2013 du Dr L.________, médecin spécialiste FMH en neurologie, de M.________, qui a exclu toute pathologie au plan neurologique (dossier SUVA pce 233). - Le rapport médical intermédiaire de date illisible du Dr N.________, médecin spécialiste FMH en neurologie, qui a noté une neurographie normale, sans signe de dénervation (dossier SUVA pce 281). - Le rapport du 28 janvier 2014 du Dr O.________, médecin spécialiste FMH en neurologie, qui a exclu toute pathologie au plan neurologique (dossier SUVA pce 287). - Le rapport médical du 17 avril 2014 de la Dresse P.________, médecin spécialiste FMH en psychiatrie et psychothérapie, de la E.________, qui, en 2010, n’avait mis en évidence aucune psychopathologie, mais qui, en 2014, a expressément réservé un diagnostic psychiatrique. Elle a estimé que plusieurs éléments parlaient en faveur d’un trouble fonctionnel (trouble dissociatif</w:t>
      </w:r>
    </w:p>
    <w:p>
      <w:r>
        <w:t>Tribunal cantonal TC Page 8 de 10 mixte; F44.7). Comme diagnostic différentiel, elle notait une majoration de symptômes physiques pour des raisons psychologiques (F68.0), en raison des aspects revendicateurs et de l’attitude globalement défensive du patient, déjà bien installé dans un statut d’invalide. Elle a exposé que le caractère involontaire et inconscient des autolimitations ne pouvait être affirmé (dossier SUVA pce 295). - Le rapport médical du 29 avril 2014 du Dr Q.________, médecin spécialiste FMH en neurologie, de la E.________, qui a exclu toute souffrance radiculaire ou tronculaire et conclu à une dystonie psychogène du membre supérieur gauche (dossier SUVA pce 295). - Le rapport de sortie du 6 mai 2014 du Dr R.________, de la E.________, qui a fait état d’une hospitalisation à la E.________ du 15 avril au 6 mai 2014 pour des thérapies physiques et fonctionnelles pour douleurs persistantes et exclusion fonctionnelle du membre supérieur gauche (dossier SUVA pce 293). - Le rapport à la SUVA du 8 mai 2014 du Dr S.________, médecin spécialiste FMH en rhumatologie, de la E.________, qui a, en définitive, retenu le diagnostic de dystonie psychogène (autre appellation: trouble fonctionnel ou trouble dissociatif mixte) du membre supérieur gauche. Il a précisé qu’il s’agissait d’un trouble inconscient et que ce diagnostic rejoignait celui du psychiatre sous une appellation neurologique. Il a finalement affirmé qu’il fallait proscrire toute prise en charge agressive chez ce patient, qui serait au-delà de toutes ressources thérapeutiques (dossier SUVA pce 295). - Le rapport médical du 17 mars 2015 du Dr T.________, médecin spécialiste FMH en chirurgie orthopédique et traumatologie, qui a confirmé le diagnostic de dystonie psychogène du membre supérieur gauche (dossier SUVA pce 346). - Les rapports médicaux des 10 juin et 20 août 2015 du Dr U.________, médecin spécialiste FMH en anesthésiologie, de V.________, qui a constaté que tous les traitements entrepris s’étaient soldés par des échecs et a proposé l’implant d’un neurostimulateur. Il a requis l’avis du Dr W.________ (dossier SUVA pces 352 et 376). - Le rapport médical du 19 juin 2015 du Dr X.________, médecin spécialiste FMH en neurologie, de Y.________, qui a considéré qu’une compression ou une affection du nerf ne pouvait être considérée comme établie (dossier SUVA pce 359). - Le rapport médical du 23 juillet 2015 du Dr T.________, qui a confirmé le diagnostic de dystonie psychogène du membre supérieur gauche et précisé qu’aucun traitement chirurgical n’était à prévoir (dossier SUVA pce 358). - Le rapport médical du 1er octobre 2015 du Dr W.________, médecin spécialiste FMH en médecine physique et réadaptation, de V.________, qui a retenu des troubles de conversion (remplissant les critères diagnostiques DSM-V) avec apparition, en relation avec un traumatisme mineur, d’une contusion du coude gauche le 9 septembre 2009. Il a estimé qu’il n’y avait pas de simulation ou d’aggravation volontaire, mais qu’il s’agissait d’une pathologie de la conscience à laquelle le patient n’a pas d’accès volontaire (dossier SUVA pce 367). - D’autres certificats médicaux (dossier SUVA pces 214, 220 à 222, 229, 232, 234, 237, 240, 244 s., 247 s., 250, 252, 254, 265, 267, 273 s., 277, 279 s., 295 s., 299 à 301, 305, 307, 310, 317, 323, 325, 329, 332 à 334, 337, 339, 343, 348, 349 s., 354 s., 361 s., 365, 368, 375 et 379 s.).</w:t>
      </w:r>
    </w:p>
    <w:p>
      <w:r>
        <w:t>Tribunal cantonal TC Page 9 de 10 c) aa) Il ressort de l’examen de la documentation médicale précitée que les médecins sollicités sont progressivement parvenus à la conclusion que le recourant souffrait d’une affection psychiatrique, à savoir d’une dystonie psychogène, autrement appelée trouble fonctionnel ou trouble dissociatif mixte. Ce diagnostic a été posé par les spécialistes – en psychiatrie et psychothérapie, neurologie et rhumatologie – de la E.________ et a par la suite été confirmé par les Drs T.________ et W.________. Il n’a par ailleurs été infirmé par aucun des médecins sollicités. Or, en ce qui concerne les affections psychiques présentées par le recourant, un lien de causalité adéquate avec l’accident du 9 septembre 2009 doit d’emblée être nié en application de la jurisprudence topique (cf. supra 5b). En effet, ledit accident peut être manifestement qualifié de peu grave. Il a d’ailleurs été explicitement mentionné comme un cas bagatelle par le Dr W.________ dans son rapport médical du 1er octobre 2015. Un choc même violent du coude contre un montant métallique ayant entraîné une simple contusion n’est, selon l’expérience, pas de nature à susciter l’effroi et entraîner des chocs psychiques extraordinaires, loin s’en faut (cf. arrêt TF 8C_354/2011 du 3 février 2012 consid. 4.2). Une erreur médicale dans le traitement appliqué ne ressort de plus pas du dossier. Les prestations pour soins et les frais en lien avec l’affection psychiatrique dont souffre le recourant ne doivent donc pas être pris en charge respectivement pas être remboursés par la SUVA. De même, ladite affection ne saurait fonder une révision de son droit à la rente d’invalidité. bb) Sur le plan somatique, force est de constater que tous les spécialistes sollicités ont nié l’existence d’une atteinte neurologique ainsi que d’une souffrance radiculaire ou tronculaire. Aucune séquelle physique objective de l’accident du 9 septembre 2009 n’a ainsi pu être retenue. L’assuré ne souffre donc d’aucune maladie professionnelle ni d’une rechute ou de séquelles tardives. En outre, aucune mesure médicale n’est nécessaire pour qu’il puisse conserver sa capacité de gain résiduelle ou améliorer son état de santé; tout au contraire, le Dr S.________ dans son rapport du 8 mai 2014 et le Dr T.________ dans son rapport du 23 juillet 2015 ont explicitement précisé qu’aucun nouveau traitement ne devait être entrepris, laissant entendre qu’une telle mesure serait contre-indiquée. Les conditions de l’art. 21 al. 1 LAA, ouvrant le droit à des prestations pour soins et au remboursement de frais après la fixation de la rente, ne sont donc pas non plus réunies. De même, il n’existe aucune aggravation de l’état de santé somatique du recourant justifiant une révision de son droit à la rente, d’autant moins que les facteurs extra-organiques mis à l’époque en évidence par la Cour de céans dans son précédent arrêt semblent avoir même pris encore un peu plus d’importance, le Dr K.________ signalant à cet égard la présence désormais d’un trouble somatoforme douloureux se situant possiblement aux confins de la simulation.</w:t>
      </w:r>
    </w:p>
    <w:p>
      <w:r>
        <w:rPr>
          <w:b/>
        </w:rPr>
        <w:t>E. 8</w:t>
      </w:r>
    </w:p>
    <w:p>
      <w:r>
        <w:t>a) Vu ce qui précède, le recours du 20 janvier 2016, mal fondé, doit être rejeté et la décision sur opposition du 21 décembre 2015 confirmée. b) En application du principe de la gratuité de la procédure valant en la matière (cf. art. 61 let. a LPGA), il n'est pas perçu de frais de justice.</w:t>
      </w:r>
    </w:p>
    <w:p>
      <w:r>
        <w:t>Tribunal cantonal TC Page 10 de 10 c) Il n'est pas alloué de dépens à la SUVA, chargée de tâches de droit public (cf. arrêts TF 8C_552/2009 du 8 avril 2010 consid. 6; 9C_312/2008 du 24 novembre 2008 consid. 8 et la référence citée).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2017 /yho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