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126 vom 9. Mai 2017</w:t>
      </w:r>
    </w:p>
    <w:p>
      <w:r>
        <w:t>FR Kantonsgericht, 2017-05-09, FR</w:t>
      </w:r>
    </w:p>
    <w:p>
      <w:r>
        <w:rPr>
          <w:b/>
        </w:rPr>
        <w:t xml:space="preserve">Quelle: </w:t>
      </w:r>
      <w:r>
        <w:t>https://mcp.opencaselaw.ch/entscheid/fr_gerichte_605_2016_126</w:t>
      </w:r>
    </w:p>
    <w:p>
      <w:r>
        <w:t>FR: FR_GERICHTE 605 2016 126 du 9 mai 2017</w:t>
      </w:r>
    </w:p>
    <w:p>
      <w:r>
        <w:t>IT: FR_GERICHTE 605 2016 126 del 9 maggio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Les dispositions de la 1ère révision de l'assurance-accidents (changement du 25 septembre 2015) ont entraîné la modification de certaines dispositions légales dans le domaine de l'assurance-accident. Conformément au principe selon lequel les règles applicables sont celles en vigueur au moment où les faits déterminants se sont produits (ATF 130 V 445), le juge n'a pas à prendre en considération les modifications de droit ou l'état de fait postérieurs à la date déterminante de la décision litigieuse (ATF 132 V 315 consid. 3.1.1 et 129 V 1 consid. 1.2). Par conséquent, les nouvelles dispositions légales introduites dans le cadre de la 1ère révision de l'assurance-accident, entrées en vigueur le 1er janvier 2017, ne sont ici pas applicables.</w:t>
      </w:r>
    </w:p>
    <w:p>
      <w:r>
        <w:rPr>
          <w:b/>
        </w:rPr>
        <w:t>E. 3</w:t>
      </w:r>
    </w:p>
    <w:p>
      <w:r>
        <w:t>a) Selon l'art. 6 al. 1 de la loi du 20 mars 1981 sur l'assurance-accidents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 Il faut examiner de cas en cas si l'effort doit être considéré comme extraordinaire, en tenant compte de la constitution physique et des habitudes, professionnelles ou autres, de l'intéressé (arrêt TF 8C_292/2014 du 18 août 2014 consid. 5.1 et la référence citée).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w:t>
      </w:r>
    </w:p>
    <w:p>
      <w:r>
        <w:t>Tribunal cantonal TC Page 4 de 7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(arrêt TF U 252/06 du 4 mai 2007 consid. 2;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En effet, selon une jurisprudence constante, un acte usuel dans l'exercice d'un sport, même s'il représente un effort violent ou implique une contrainte importante, exécuté dans des conditions familières pour un sportif actif et non accompagné d'un phénomène particulier, ne saurait être qualifié d'exceptionnel (arrêts TF U 235/02 du 06 août 2003, U 17/02 du 10 décembre 2002 et les références citées). A titre d'exemple, le Tribunal fédéral a considéré que le déroulement de mouvements en cas de saut en parachute est en principe toujours semblable et naturel pour le parachutiste, et qu'il n'est pas inattendu qu'il soit particulièrement intensif (arrêt TF U 165/03 du 30 décembre 2003 in SVR 2004 UV no 13 p. 47). De même, la Haute Cour a également jugé que l'exécution légèrement imparfaite d'une figure de gymnastique ou d'un mouvement dans l'exercice d'un sport ne constitue pas un accident au sens de la loi (arrêts TF 8C_189/2010 du 9 juillet 2010, U 17/02 du 10 décembre 2002 et U 134/00 du 21 septembre 2001). b)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La notion de lésion assimilée à un accident a en effet pour but d'éviter, au profit de l'assuré, la distinction souvent difficile entre maladie et accident.</w:t>
      </w:r>
    </w:p>
    <w:p>
      <w:r>
        <w:t>Tribunal cantonal TC Page 5 de 7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p. 328;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(arrêt TF U 220/02 du 6 août 2003 consid. 2).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(arrêt TF U 162/06 du 10 avril 2007 consid. 4.2). c) Dans une jurisprudence récente (arrêt TF 8C_172/2015 du 23 avril 2015), la Haute Cour a considéré qu'il n'y avait pas d'événement significatif lorsque, lors d'un entraînement de football, l'assuré se déchire le ménisque en courant, sans trébucher, sans glisser et sans contact avec son adversaire. d)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En présence de deux versions différentes au sujet des circonstances d'un accident, il faut, selon la jurisprudence, donner la préférence à celle que l'assuré a donné en premier, alors qu'il en ignorait les conséquences juridiques, les explications nouvelles pouvant être – consciemment ou non – le produit de réflexions ultérieures (ATF 121 V 47 consid. 2a et les références, VSI 2000 p. 201 consid. 2d).</w:t>
      </w:r>
    </w:p>
    <w:p>
      <w:r>
        <w:rPr>
          <w:b/>
        </w:rPr>
        <w:t>E. 4</w:t>
      </w:r>
    </w:p>
    <w:p>
      <w:r>
        <w:t>Est litigieux, en l'espèce, la question de savoir si le recourant a droit aux prestations de l'assurance-accidents en raison de l'événement du 9 février 2015 lors de son match de football. A cet effet, il ressort du dossier ce qui suit. a) La déclaration d'accident du 10 septembre 2015 mentionne simplement: "Beim Fussball spielen verletzt. Knie rechts". Dans le protocole opératoire du 16 octobre 2015, le Dr D.________ pose le diagnostic de déchirure de la corne antérieure du ménisque interne du genou droit. Déchirure de la corne moyenne du ménisque externe. Chondrite de stade III-IV de la trochlée et surtout de stade IV du</w:t>
      </w:r>
    </w:p>
    <w:p>
      <w:r>
        <w:t>Tribunal cantonal TC Page 6 de 7 condyle interne. Il a effectué une arthroscopie du genou droit, une méniscectomie interne partielle a minima, une méniscectomie externe partielle a minima, un lissage cartilagineux, une toilette articulaire avec résection de plica synovialis et de synovite antéro-interne et un forage selon Pridie (ou microfractures) du condyle fémoral. Dans le rapport initial du 16 novembre 2015, ce médecin précise qu'à sa connaissance, le patient n'a pas déjà souffert de troubles similaires auparavant. Lors de l'entretien téléphonique du 8 janvier 2016 avec l'assurance, l'assuré a décrit l'événement comme suit: le 9 février 2015, il était en train de faire du football en salle avec des amis, il courait et il a senti un craquement dans le genou. Il n'y a pas eu de choc, de chute ou de bousculade. Dans le recours, l'assuré, pour la première fois, indique qu'au moment des faits, il a fait un faux mouvement avec le ballon avant de ressentir la douleur. b) L'on rappellera ici qu'aussi bien dans les cas où un événement doit être qualifié d'accident (au sens de l'art. 4 LPGA) que dans ceux où l'on considère qu'il s'agit d'une lésion corporelle assimilable à un accident (art. 9 al. 2 OLAA), il faut que la condition du facteur extérieur soit remplie. En effet, la différence entre un événement qualifié "d'accident" et un événement qualifiée de "lésion assimilable à un accident" consiste simplement dans le fait que, pour ce dernier, la cause extérieure ne doit pas présenter de caractère extraordinaire. Il ressort de la description des faits de l'événement litigieux exposé par le recourant (cf. déclaration d'accident puis entretien téléphonique avec l'assurance) que l'on ne saurait retenir l'existence d'un accident au sens strict du terme, à défaut de cause extérieure extraordinaire. En effet, dans ses premières déclarations qu'il faut privilégier conformément à la jurisprudence relative aux premières déclarations susmentionnée, le recourant ne décrit aucun phénomène particulier, tel qu'une chute, un choc, une glissade ou un mouvement non coordonné qui se serait produit durant le match. Il a simplement couru en jouant au football et ressenti une douleur. On doit dès lors nier la présence du facteur extraordinaire. La qualification d'accident au sens juridique du terme n'est ainsi pas donnée. c) Se pose en revanche encore la question de savoir si c'est au titre de lésion assimilée que l'autorité intimée doit prester, en particulier si l'on se trouve, dans le cas d'espèce, en présence d'une cause extérieure. En l'espèce, rappelons ici d'abord que l'exigence d'une cause dommageable extérieure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La notion de cause extérieure suppose en effet qu'en événement générant un risque de lésion accru survienne. Les pièces du dossier indiquent que l'assuré a ressenti un craquement dans le genou lors d'un match de football. Dans son recours, l'assuré invoque pour la première fois qu'il aurait fait un faux mouvement avec le ballon. Conformément à la jurisprudence susmentionnée concernant les premières déclarations, l'on privilégiera en présence de deux versions différentes au sujet des circonstances d'un accident celle que l'assuré a donné en premier, alors qu'il ignorait les conséquences juridiques, les explications nouvelles pouvant être – consciemment ou non – le produit de réflexions ultérieures. La lésion de l'assuré est ainsi survenue sans événement significatif et sans activité recelant un risque général de danger accru. Il n'y a pas eu de chute, ni</w:t>
      </w:r>
    </w:p>
    <w:p>
      <w:r>
        <w:t>Tribunal cantonal TC Page 7 de 7 de choc, d'accélération, de mouvement non coordonné ou de bousculade avec un autre footballeur. Il a simplement couru en jouant au football. Dans le cas d'espèce, l'on se trouve en présence d'aucune sollicitation du corps plus élevée que la normale du point de vue physiologique et qui dépasserait ce qui est normalement maîtrisé d'un point de vue psychologique. Du reste, la jurisprudence fédérale (arrêt TF 8C_172/2015 du 23 avril 2015) a confirmé pour un jeune homme jouant au football qu'il n'y a pas d'événement significatif lorsque, lors d'un entraînement de football, l'assuré se déchire le ménisque en courant, sans trébucher, sans glisser et sans contact avec un adversaire. Il ressort de ce qui précède que le critère de la cause extérieure fait défaut. Partant, il est inutile d'examiner plus avant si les lésions subies par le recourant entrent dans les catégories prévues par l'art. 9 al. 2 OLAA et si elles ne sont pas manifestement imputables à une maladie ou à des phénomènes dégénératifs. d) Au vu de ce qui précède, l'assureur-accidents intimé était en droit de refuser de prester, la blessure du recourant ne remplissant ni les conditions d'un accident ni celles d'une lésion assimilée à un accident. Dans ces conditions, le recours, mal fondé, doit être rejeté et la décision litigieuse confirmée. Il n'est pas perçu de frais de justice conformément au principe de la gratuité de la procédure valant en la matière ni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