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116 vom 21. April 2017</w:t>
      </w:r>
    </w:p>
    <w:p>
      <w:r>
        <w:t>FR Kantonsgericht, 2017-04-21, FR</w:t>
      </w:r>
    </w:p>
    <w:p>
      <w:r>
        <w:rPr>
          <w:b/>
        </w:rPr>
        <w:t xml:space="preserve">Quelle: </w:t>
      </w:r>
      <w:r>
        <w:t>https://mcp.opencaselaw.ch/entscheid/fr_gerichte_605_2016_116</w:t>
      </w:r>
    </w:p>
    <w:p>
      <w:r>
        <w:t>FR: FR_GERICHTE 605 2016 116 du 21 avril 2017</w:t>
      </w:r>
    </w:p>
    <w:p>
      <w:r>
        <w:t>IT: FR_GERICHTE 605 2016 116 del 21 aprile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b) La violation de cette obligation de chercher du travail peut entraîner une sanction fondée sur l'art. 30 al. 1 let. c LACI, qui prévoit que le droit de l'assuré à l'indemnité est suspendu lorsqu'il est établi que celui-ci ne fait pas tout ce qu'on peut raisonnablement exiger de lui pour trouver un travail convenable.</w:t>
      </w:r>
    </w:p>
    <w:p>
      <w:r>
        <w:t>Tribunal cantonal TC Page 3 de 8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w:t>
      </w:r>
    </w:p>
    <w:p>
      <w:r>
        <w:rPr>
          <w:b/>
        </w:rPr>
        <w:t>E. 3</w:t>
      </w:r>
    </w:p>
    <w:p>
      <w:r>
        <w:t>juin 2008 consid. 3.2). c) En vertu de l'art. 30 al. 3 LACI, la durée de la suspension est proportionnelle à la gravité de la faute et ne peut excéder, par motif de suspension, 60 jours, et dans le cas de l’al. 1, let. g, 25 jours.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La suspension du droit à l'indemnité n'a pas le caractère d'une peine au sens du droit pénal, mais celui d'une sanction administrative ayant pour but de limiter le risque d'une mise à contribution abusive de l'assurance et devant respecter le principe de proportionnalité (cf. arrêt TF C 218/01 du</w:t>
      </w:r>
    </w:p>
    <w:p>
      <w:r>
        <w:rPr>
          <w:b/>
        </w:rPr>
        <w:t>E. 5</w:t>
      </w:r>
    </w:p>
    <w:p>
      <w:r>
        <w:t>Il découle de tout ce qui précède que l’on ne peut ici reprocher au recourant de ne pas avoir effectué de recherches d’emploi au cours du mois de décembre 2014. Le fait que l’autorité intimée ait par ailleurs dans un premier temps accepté ses justifications pour le mois de novembre 2014 aurait dû, par souci de cohérence, la conduire à accepter les mêmes explications pour le mois de décembre 2014 et à ne prononcer aucune mesure de suspension du droit aux indemnités. Bien fondé, le recours doit ainsi être admis et la décision sur opposition annulée.</w:t>
      </w:r>
    </w:p>
    <w:p>
      <w:r>
        <w:rPr>
          <w:b/>
        </w:rPr>
        <w:t>E. 6</w:t>
      </w:r>
    </w:p>
    <w:p>
      <w:r>
        <w:t>En application du principe de la gratuité de la procédure valant en la matière, il n'est pas perçu de frais de justice. Enfin, le recourant n’étant pas représenté, aucune indemnité de partie ne lui est octroyée.</w:t>
      </w:r>
    </w:p>
    <w:p>
      <w:r>
        <w:t>Tribunal cantonal TC Page 8 de 8 la Cour arrête: I. Le recours est admis. Partant, la décision querellée est annulée et la mesure de suspension de huit jours est levée.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 /isc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