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40 vom 6. Mai 2015</w:t>
      </w:r>
    </w:p>
    <w:p>
      <w:r>
        <w:t>FR Kantonsgericht, 2015-05-06, FR</w:t>
      </w:r>
    </w:p>
    <w:p>
      <w:r>
        <w:rPr>
          <w:b/>
        </w:rPr>
        <w:t xml:space="preserve">Quelle: </w:t>
      </w:r>
      <w:r>
        <w:t>https://mcp.opencaselaw.ch/entscheid/fr_gerichte_605_2015_40</w:t>
      </w:r>
    </w:p>
    <w:p>
      <w:r>
        <w:t>FR: FR_GERICHTE 605 2015 40 du 6 mai 2015</w:t>
      </w:r>
    </w:p>
    <w:p>
      <w:r>
        <w:t>IT: FR_GERICHTE 605 2015 40 del 6 maggio 2015</w:t>
      </w:r>
    </w:p>
    <w:p>
      <w:pPr>
        <w:pStyle w:val="Heading2"/>
      </w:pPr>
      <w:r>
        <w:t>Regeste</w:t>
      </w:r>
    </w:p>
    <w:p>
      <w:r>
        <w:t>Arrêt de la Ie Cour des assurances sociales du Tribunal cantonal | Arbeitslosenversicherung</w:t>
      </w:r>
    </w:p>
    <w:p>
      <w:pPr>
        <w:pStyle w:val="Heading2"/>
      </w:pPr>
      <w:r>
        <w:t>Erwägungen</w:t>
      </w:r>
    </w:p>
    <w:p>
      <w:r>
        <w:rPr>
          <w:b/>
        </w:rPr>
        <w:t>E. 2</w:t>
      </w:r>
    </w:p>
    <w:p>
      <w:r>
        <w:t>février 2015 annulée; qu'il n'est en revanche pas possible pour la Cour de céans de trancher la question du droit aux indemnités de chômage du recourant, question qui ne fait pas partie de l'objet du présent litige circonscrit par la décision attaquée; qu'il convient dès lors de transmettre la cause à la Caisse pour qu'elle statue sur les conditions – relevant de sa compétence – du droit à l'indemnité journalière de A.________, en particulier sur celle du domicile qui est à la base de toute la problématique de ce dossier; qu'en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la Cour arrête: I. Le recours est admis au sens des considérants et la décision sur opposition annulée. Partant, A.________ est considéré comme étant inscrit à l'assurance-chômage. II. Le recours est rejeté pour le surplus. III. La cause est transmise à la Caisse publique de chômage du canton de Fribourg pour qu'elle statue sur les conditions du droit à l'indemnité journalière de A.________. IV. Il n'est pas perçu de frais de justice. V. Communication.</w:t>
      </w:r>
    </w:p>
    <w:p>
      <w:r>
        <w:t>Tribunal cantonal TC Page 5 de 5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