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7 vom 21. September 2016</w:t>
      </w:r>
    </w:p>
    <w:p>
      <w:r>
        <w:t>FR Kantonsgericht, 2016-09-21, DE</w:t>
      </w:r>
    </w:p>
    <w:p>
      <w:r>
        <w:rPr>
          <w:b/>
        </w:rPr>
        <w:t xml:space="preserve">Quelle: </w:t>
      </w:r>
      <w:r>
        <w:t>https://mcp.opencaselaw.ch/entscheid/fr_gerichte_605_2014_7</w:t>
      </w:r>
    </w:p>
    <w:p>
      <w:r>
        <w:t>FR: FR_GERICHTE 605 2014 7 du 21 septembre 2016</w:t>
      </w:r>
    </w:p>
    <w:p>
      <w:r>
        <w:t>IT: FR_GERICHTE 605 2014 7 del 21 settembre 2016</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14. Januar 2014 gegen die Verfügung der IV-Stelle vom 28. November 2013 ist unter der Berücksichtigung des Fristenstillstandes vom 18. Dezember bis und mit 2. Ja- nuar (Art. 38 Abs. 4 des Bundesgesetzes vom 6. Oktober 2000 über den Allgemeinen Teil des So- zialversicherungsrechts [ATSG; SR 830.1], welches hier aufgrund von Art. 1 Abs. 1 des Bundes- gesetzes vom 19. Juni 1959 über die Invalidenversicherung [IVG; SR 831.20] zur Anwendung kommt) fristgerecht durch einen ordentlich bevollmächtigten Vertreter bei der sachlich und örtlich zuständigen Beschwerdeinstanz eingereicht worden. Die Beschwerdeführerin hat ein Interesse, dass das Kantonsgericht, I. Sozialversicherungsgerichtshof, prüft, ob sie Anspruch auf eine ganze Rente hat. Auf die Beschwerde ist einzutreten.</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w:t>
      </w:r>
    </w:p>
    <w:p>
      <w:r>
        <w:t>Kantonsgericht KG Seite 4 von 9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 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Invaliditätsfremde Gesichtspunkte sind im Rahmen des Einkommensvergleichs überhaupt nicht oder dann bei beiden Vergleichsgrössen gleichmässig zu berücksichtigen (BGE 129 V 222 E. 4.4). Mehrjährige Arbeitsabstinenz zählt zu den invaliditäts- fremden Faktoren (Urteil EVG I 344/00 vom 1. März 2001 E. 3 b/aa). c) Gemäss Art. 28a IVG wird bei nicht erwerbstätigen Versicherten, die im Aufgabenbe- reich tätig sind und denen die Aufnahme einer Erwerbstätigkeit nicht zugemutet werden kann, für die Bemessung der Invalidität in Abweichung von Art. 16 ATSG darauf abgestellt, in welchem Mas- se sie unfähig sind, sich im Aufgabenbereich zu betätigen (Abs. 2). Bei Versicherten, die nur zum Teil erwerbstätig sind, wird für diesen Teil die Invalidität nach Art. 16 ATSG festgelegt. Waren sie daneben auch im Aufgabenbereich tätig, so wird die Invalidität für diese Tätigkeit nach Abs. 2 fest- gelegt. In diesem Fall sind der Anteil der Erwerbstätigkeit und der Anteil der Tätigkeit im Aufgaben- bereich festzulegen und der Invaliditätsgrad in beiden Bereichen zu bemessen (Abs. 3). Hinsichtlich der Einschränkungen im Aufgabenbereich nimmt die Verwaltung eine Haushaltsabklä- rung vor gemäss den Angaben im Kreisschreiben über Invalidität und Hilflosigkeit in der Invaliden- versicherung (KSHI, Rz. 3079 ff.).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 rungen hat. Weiter sind die Angaben der versicherten Person zu berücksichtigen, wobei divergie- rende Meinungen der Beteiligten im Bericht aufzuzeigen sind. Der Berichtstext muss plausibel, be- gründet und angemessen detailliert bezüglich der einzelnen Einschränkungen sein sowie in Über- einstimmung mit den an Ort und Stelle erhobenen Angaben stehen (Urteil BGer 9C_150/2012 vom 30. August 2012 E. 5.3.2 mit Hinweisen). Das Gericht greift, sofern der Bericht eine zuverlässige Entscheidungsgrundlage im eben umschriebenen Sinne darstellt, in das Ermessen der die Ab- klärung tätigenden Person nur ein, wenn klar feststellbare Fehleinschätzungen vorliegen. Das ge- bietet insbesondere der Umstand, dass die fachlich kompetente Abklärungsperson näher am kon- kreten Sachverhalt ist als das im Beschwerdefall zuständige Gericht (BGE 128 V 93). Recht- 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 spruch zu den ärztlichen Befunden stehen (in BGE 134 V 9 nicht publizierte E. 5.2.1 des Urteils BGer I 246/05 vom 30. Oktober 2007 mit Hinweisen).</w:t>
      </w:r>
    </w:p>
    <w:p>
      <w:r>
        <w:t>Kantonsgericht KG Seite 5 von 9 Dem Versicherten sind im Rahmen der Schadenminderungspflicht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 beiten ermöglichen. Kann die versicherte Person aufgrund ihrer Behinderung gewisse Haushalts- 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 nommen werden, als die Aufgaben, welche nicht mehr erfüllt werden können, durch Drittpersonen gegen Entlöhnung oder durch Angehörige verrichtet werden, denen dadurch nachgewiesenermas- sen eine Erwerbseinbusse oder doch eine unverhältnismässige Belastung entsteht. Die im Rah- men der Invaliditätsbemessung bei einer Hausfrau zu berücksichtigende Mithilfe von Familienan- 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mit Hinweisen).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Nicht streitig ist die Aufteilung zwischen Erwerbstätigkeit (56%) und Haushalt (44%) und dass im Bereich Erwerbstätigkeit eine vollständige Erwerbsunfähigkeit vorliegt. Demgegenüber ist streitig, wie hoch die Erwerbsunfähigkeit im Bereich Haushalt ist und ob die Beschwerdeführerin Anspruch auf eine ganze statt der von der IV-Stelle zugesprochenen Dreiviertelsrente hat. a) Als Vorbemerkung ist festzuhalten, dass auf die von der Beschwerdeführerin beantragte persönliche Einvernahme verzichtet wird, da davon keine weiteren erheblichen Erkenntnisse zu er- warten sind. Vielmehr führen die vorhandenen Unterlagen – wie nachfolgend ausgeführt wird – das Gericht zur Überzeugung, dass der etablierte Sachverhalt als überwiegend wahrscheinlich zu betrachten ist und weitere Beweismassnahmen an diesem feststehenden Ergebnis nichts zu ändern vermögen (antizipierte Beweiswürdigung; KIESER, Das Verwaltungsverfahren in der Sozial- versicherung, 1999, S. 212, Rz. 450; vgl. ebenso BGE 134 I 140 E. 5.3). Ferner hat die Beschwer- deführerin diesen Antrag auch nicht weiter begründet.</w:t>
      </w:r>
    </w:p>
    <w:p>
      <w:r>
        <w:t>Kantonsgericht KG Seite 6 von 9 b) Die Beschwerdeführerin kritisiert zunächst die Gewichtung der Aufgaben im Haushalt und ist namentlich der Meinung, der Bereich "Verschiedenes" müsse weggelassen und dessen Gewichtung von 24% auf die übrigen Bereiche verteilt werden. Ferner ist sie mit der Schätzung der Einschränkung bei der Erfüllung der Aufgaben im Haushalt nicht einverstanden. c) Die IV-Stelle ihrerseits ist der Ansicht, auch eine andere Gewichtung der Posten würde nicht zu einer relevanten Änderung des Invaliditätsgrads führen. Zudem sei die Einschätzung der Einschränkung bei der Erfüllung der Aufgaben im Haushalt korrekt erfolgt. d) Hinsichtlich des Gesundheitszustands der Beschwerdeführerin ergibt sich aus dem Dossier, dass sie trotz der am 21. September 2011 durchgeführten Stumpfrevision weiterhin über Schmerzen (Phantomschmerzen) im Stumpf klagt. Weiter ergab sich eine durch die Chemothera- pie bedingte sensomotorische Polyneuropathie, welche bis heute anhält und sich durch Kribbeln in den Fingern sowie Kribbelparästhesien im linken Bein bis zum Knie auszeichnet (vgl. Bericht der E.________ vom 21. Juni 2013; IV-Akten, S. 264 ff.). Dank einer im F.________ durchgeführten Schmerztherapie konnten die anfänglich starken Schmerzen deutlich reduziert werden (Bericht vom 2. Juli 2012; IV-Akten, S. 185). Am 10. Sep- tember 2012 (IV-Akten, S. 239) berichtete die G.________, die maximale Laufstrecke ohne Gehstöcke belaufe sich auf 1 km. Wegen des regelrechten Verlaufs nach Stumpfrevision und Myoplastik des Unterschenkel-Stumpfes wurde die Therapie abgeschlossen. Die gleiche Klinik attestierte am 23. April 2013 (IV-Akten, S. 255) für eine sitzende Tätigkeit eine Arbeitsfähigkeit von 60-80%. Eine stehende/laufende Tätigkeit sei wegen der Schmerzen nicht mehr möglich. Ein Praktikum bei der CIS ergab aber, dass die Arbeitsfähigkeit nicht mehr verwertbar sei. Sie konnte zwar die von ihr verlangten Arbeiten erfolgreich erledigen, war dabei aber relativ langsam (vgl. Bericht vom 3. April 2013; IV-Akten, S. 248 f.). Keiner der involvierten Ärzte erwähnte bzw. äusserte sich zu eventuellen Einschränkungen bei den Haushaltsarbeiten. e) Gestützt auf den Abklärungsbericht Haushalt vom 4. April 2012 sowie die Angaben der Beschwerdeführerin (vgl. Besprechungsnotiz Telefon vom 5. November 2012; IV-Akten, S. 229) ging die IV-Stelle in der hier streitigen Verfügung unter Miteinbezug der Mithilfe des Ehemanns von folgenden Einschränkungen aus: "Haushaltsführung" 0% (Gewichtung 4%), "Ernährung" 10% (Ge- wichtung 32%), "Wohnungspflege" 30% (Gewichtung 17%), "Einkauf und weitere Besorgungen" 20% (Gewichtung 9%), "Wäsche und Kleiderpflege" 20% (Gewichtung 14%), "Betreuung Kinder" 0% (Gewichtung 0%) sowie "Diverses" 10% (Gewichtung 24%). Die Beschwerdeführerin kritisiert, der Bereich "Verschiedenes" müsse bei ihr weggelassen wer- den, da sie diese Aufgaben, welche als "Freizeitbeschäftigung" zu taxieren seien, gar nicht wahr- nehmen könnte, wenn sie noch bei ihrem Arbeitgeber arbeiten würde. Es könne nicht sein, dass der Bereich der Kinderbetreuung weggelassen werde, weil er nicht existiert, demgegenüber die Garten-, Kranken-, Pflanzenpflege in die Gewichtung einbezogen werde, obwohl diese auch nicht vorliegen würden. Die für den Bereich "Diverses" vorgesehenen 24% seien deshalb auf die Be- reiche 1–5 zu verteilen. Der Bereich "Diverses" wird gemäss den Angaben im KSIH Rz. 3086 mit 0–50% gewichtet. Inso- fern die Gewichtung aller Bereiche immer 100% ergeben muss, erstaunt die Argumentation der Beschwerdeführerin. Weil sie keine explizite Kritik an der Gewichtung der übrigen Bereiche übt und ebenfalls nicht aufzeigt, inwiefern diese erhöht werden müssten, ergibt sich für die Rubrik</w:t>
      </w:r>
    </w:p>
    <w:p>
      <w:r>
        <w:t>Kantonsgericht KG Seite 7 von 9 "Verschiedenes" logischerweise ein Wert von 24%. Zudem ist es nachvollziehbar, dass der Be- reich "Diverses" vorliegend relativ hoch ausfällt, da die Rubrik "Betreuung Kinder" auf 0% gesetzt wurde, woran es angesichts der volljährigen Kinder und der nur gelegentlichen Betreuung der drei Enkelkinder nichts zu kritisieren gibt. Doch selbst wenn – rein hypothetisch – der Sichtweise der Beschwerdeführerin gefolgt würde und die Gewichtung des Bereichs "Diverses" auf die übrigen Bereiche verteilt würde, ergäbe sich bei gleichbleibenden Einschränkungen einzig eine Erhöhung der Einschränkung im Aufgabenbereich von 15.3% auf 16.5%, was keine Änderung des gewichte- ten Teilinvaliditätsgrad im Aufgabenbereich ergibt (gerundet 7%), weshalb weiterhin von einem globalen Invaliditätsgrad von 63% auszugehen wäre. Weiter ist die Beschwerdeführerin mit der Schätzung der Einschränkung bei der Erfüllung der Auf- gaben im Haushalt nicht einverstanden. So hätte ihrer Meinung nach eine neue Einschätzung er- folgen müssen, nachdem die Eingliederungsmassnahmen (Abklärung im CIS) zeigten, dass die Arbeitsfähigkeit nicht mehr verwertbar sei. Diese Abklärung ergab einzig und allein die Nichtver- wertbarkeit der noch vorhandenen Arbeitsfähigkeit. Die Beschwerdeführerin konnte demgegenüber aber alle ihr aufgetragenen Aufgaben erledigen, einfach mit einem für die freie Wirtschaft zu tiefen Rendement. Im Haushalt hingegen besteht im Unterschied zur freien Wirtschaft eben gerade kein Zeitdruck und die Beschwerdeführerin hat auch die Möglichkeit, regelmässig Pausen einzulegen und kann die zu erledigende Arbeit auf den ganzen Tag verteilen, weshalb es nicht zu kritisieren ist, dass die IV-Stelle auf eine neue Haushaltsabklärung verzichtet hat, zumal aus medizinischer Sicht keine relevante Verschlechterung des Gesundheitszustands im Vergleich zur Situation an- lässlich der Haushaltsabklärung ausgewiesen ist. Weiter macht die Beschwerdeführerin geltend, sie müsse ständig Medikamente einnehmen, sei deshalb häufig müde und in den Bereichen "Ernährung", "Einkauf und Besorgungen", "Wäsche und Kleiderpflege" sowie "Wohnungspflege" seien die berücksichtigten Einschränkungen viel zu tief. Sie begründet dies aber nicht weiter. Nur hinsichtlich des Bereichs "Einkauf und Besorgungen" hält sie fest, die hauptsächlichen Einkäufe würden vom Ehemann übernommen, weshalb die Ein- schränkung höher als 20% einzustufen sei. Anlässlich der Abklärung gab sie an, sie erledige die täglichen Einkäufe selber. Da sie nicht mehr Auto fahren könne, kümmere sich ihr Ehemann um die Grosseinkäufe. Anlässlich des vorerwähnten Telefonats gab sie zwar regelmässige Schmerzen an, sagte aber dennoch, ca. alle zwei Tage mache sie die Einkäufe selber. Die von der IV-Stelle festgehaltene Einschränkung von 20% in diesem Bereich ist deshalb durchaus nachvollziehbar. Auch kann nicht gesagt werden, in den Bereichen "Ernährung", "Wohnungspflege" sowie "Wäsche und Kleiderpflege" erledige der Ehemann den Grossteil der Arbeiten. Vielmehr ergibt sich aus den Angaben der Beschwerdeführerin, dass sie relativ viele Arbeiten selbständig erledigen kann und dabei einfach in Etappen vorgehen und regelmässig die Position wechseln muss. So trägt bei- spielsweise der Ehemann die Wäsche jeweils ins Untergeschoss und holt sie wieder hinauf, die übrigen Arbeiten werden aber von der Beschwerdeführerin erledigt, weshalb ebenfalls in diesem Bereich die festgehaltene Einschränkung von 20% nicht zu bemängeln ist. Weitere Äusserungen zu den von der IV-Stelle festgehaltenen Einschränkungen erübrigen sich deshalb und es kann auf die zutreffenden Ausführungen der Abklärungsperson in ihrer Stellungnahme vom 30. April 2014 (zusammen mit den Bemerkungen eingereicht) verwiesen werden. Zudem ist daran zu erinnern, dass im Rahmen der Schadenminderungspflicht bei der Invaliditäts- bemessung, was den Haushaltsbereich betrifft, die zu berücksichtigende Mithilfe von Familienan- gehörigen weiter geht als die ohne Gesundheitsschädigung üblicherweise zu erwartende Unter-</w:t>
      </w:r>
    </w:p>
    <w:p>
      <w:r>
        <w:t>Kantonsgericht KG Seite 8 von 9 stützung. Es kann daher vom Ehmann, auch wenn dieser im Vollpensum arbeitstätig ist, sehr wohl die Mithilfe im Rahmen der während der Abklärung gemachten Angaben erwartet werden. Insgesamt gibt es somit am Abklärungsbericht vom April 2012 nichts auszusetzen. Die dafür ver- antwortliche Person hatte Kenntnis der örtlichen und räumlichen Verhältnissen, der medizinischen Unterlagen und berücksichtigte die von der Beschwerdeführerin anlässlich der Abklärung gemach- ten Angaben. Der Bericht erwähnt umfassend die von der Beschwerdeführerin angegebenen Ein- schränkungen. Es ergeben sich ebenfalls keine Widersprüche mit den objektiv erhobenen medi- zinischen Befunden, womit der Abklärungsbericht voll beweiskräftig ist. Gemäss der oben darge- stellten Rechtsprechung greift das Gericht in das Ermessen der die Abklärung tätigenden Person nur ein, wenn klar feststellbare Fehleinschätzungen vorliegen, was hier nicht der Fall ist. f) Hinsichtlich der Berechnung des Invaliditätsgrads bringt die Beschwerdeführerin im Übrigen keine konkrete Kritik vor. Da es an der Sichtweise der IV-Stelle nichts auszusetzen gibt, ergibt sich auch keine Änderung beim Invaliditätsgrad und die von der IV-Stelle vorgenommene Berechnung erweist sich als korrekt. Damit ist der Invaliditätsgrad von 63% und damit der An- spruch auf eine Dreiviertelsrente zu bestätigen. g) An der Anwendung der gemischten Methode gibt es im vorliegenden Fall nichts auszu- setzen und eine andere Methode wird auch von der Beschwerdeführerin nicht geltend gemacht. Nur der Vollständigkeit halber wird darauf hingewiesen, dass falls hier die Methode des Einkom- mensvergleichs für Teilerwerbstätige ohne Aufgabenbereich angewendet worden wäre, die Be- schwerdeführerin nur Anspruch auf eine halbe Rente gehabt hätte. Gemäss dieser Methode ist bei teilerwerbstätigen Versicherten ohne Aufgabenbereich die anhand der Einkommensvergleichs- methode (Art. 16 ATSG) zu ermittelnde Einschränkung im allein versicherten erwerblichen Bereich proportional – im Umfang der hypothetischen Teilerwerbstätigkeit – zu berücksichtigen. Der Invali- ditätsgrad entspricht der proportionalen Einschränkung im erwerblichen Bereich und kann damit den versicherten Bereich, welcher durch das hypothetische Teilzeitpensum definiert wird, nicht übersteigen. Bei der vollständig arbeitsunfähigen Beschwerdeführerin, deren erwerblicher Bereich 56% beträgt, ergibt sich bei proportionaler (dem Umfang der hypothetischen Teilerwerbstätigkeit entsprechender) Berücksichtigung des Ergebnisses des Einkommensvergleichs ein Invaliditäts- grad von 56% (vgl. zur Publikation vorgesehenes Urteil BGer 9C_178/2015 E. 7.3 u. 8.1 mit Hin- weisen). Bei dieser Rechtslage bedarf es keiner weiteren Erörterungen darüber, ob bzw. inwieweit die ge- mischte Methode nach dem Urteil des Europäischen Gerichtshofes für Menschenrechte in der Sache Di Trizio c. Suisse, Nr. 7186/09, vom 2. Februar 2016, überhaupt weiterhin Bestand hat (vgl. Urteil BGer 9C_700/2015 vom 18. Juli 2016 E. 3.2). Deshalb ist der Antrag der Beschwerde- führerin vom 18. November 2015, wonach das vorliegende Verfahren bis zur Veröffentlichung des vorerwähnten Urteils Di Trizio zu sistieren sei, abzuweisen. Ferner macht die Beschwerdeführerin auch keine Diskriminierung aufgrund der Anwendung der gemischten Methode geltend. Schliess- lich geht die Beschwerdeführerin auch nicht aus familiären Gründen einer Teilerwerbstätigkeit nach (vgl. Urteil BGer 9C_179/2016 vom 11. August 2016 E. 5).</w:t>
      </w:r>
    </w:p>
    <w:p>
      <w:r>
        <w:rPr>
          <w:b/>
        </w:rPr>
        <w:t>E. 4</w:t>
      </w:r>
    </w:p>
    <w:p>
      <w:r>
        <w:t>Zusammenfassend gibt es an der durch die IV-Stelle vorgenommenen Einschätzung der Ein- schränkungen im Aufgabenbereich nichts auszusetzen und die IV-Stelle hat zu Recht, gestützt auf einen globalen Invaliditätsgrad von 63%, eine Dreiviertelsrente zugesprochen. Die Beschwerde ist abzuweisen und die Verfügung vom 28. November 2013 zu bestätigen.</w:t>
      </w:r>
    </w:p>
    <w:p>
      <w:r>
        <w:t>Kantonsgericht KG Seite 9 von 9 Die Gerichtskosten zu Lasten der unterliegenden Beschwerdeführerin werden auf CHF 800.- fest- gesetzt und sind mit dem von ihr geleisteten Kostenvorschuss in der gleichen Höhe zu verrechnen. Die mit ihren Anträgen unterliegende Beschwerdeführerin hat keinen Anspruch auf Parteient- schädigung. Der Hof erkennt: I. Die Beschwerde von A.________ wird abgewiesen. II. Es werden Gerichtskosten in der Höhe von CHF 800.- zu Lasten von A.________ erhoben. Diese werden mit dem von ihr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September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