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58 vom 3. August 2015</w:t>
      </w:r>
    </w:p>
    <w:p>
      <w:r>
        <w:t>FR Kantonsgericht, 2015-08-03, DE</w:t>
      </w:r>
    </w:p>
    <w:p>
      <w:r>
        <w:rPr>
          <w:b/>
        </w:rPr>
        <w:t xml:space="preserve">Quelle: </w:t>
      </w:r>
      <w:r>
        <w:t>https://mcp.opencaselaw.ch/entscheid/fr_gerichte_605_2014_58</w:t>
      </w:r>
    </w:p>
    <w:p>
      <w:r>
        <w:t>FR: FR_GERICHTE 605 2014 58 du 3 août 2015</w:t>
      </w:r>
    </w:p>
    <w:p>
      <w:r>
        <w:t>IT: FR_GERICHTE 605 2014 58 del 3 agosto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a) Die Beschwerden vom 11. März 2014 gegen die beiden Einspracheentscheide vom 12. Februar 2014 sind form- und fristgerecht bei der örtlich und sachlich zuständigen Beschwerde- instanz eingereicht worden. Der Beschwerdeführer ist zur Einreichung der Beschwerden befugt, da er von den angefochtenen Einspracheentscheiden unmittelbar berührt ist und ein schutzwürdiges Interesse daran hat, dass das Kantonsgericht, I. Sozialversicherungsgerichtshof, prüft, ob die Ein- stellung in der Anspruchsberechtigung auf Arbeitslosenentschädigung zu Recht erfolgte. Auf die beiden Beschwerden ist einzutreten. b) Da die beiden Einspracheentscheide vom 12. Februar 2014 (Nr. 13/334 und Nr. 13/335) den gleichen Sachverhalt (ungenügende Arbeitsbemühungen während einer Kontrollperiode) be- handeln und zudem die beiden Beschwerden vom 11. März 2014 in ihrem Wortlaut identisch sind, rechtfertigt es sich, die beiden Verfahren 605 2014 58 sowie 605 2014 59 zu vereinen und in einem Urteil zu entscheiden.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 sicherungsrecht verankerten Grundsatzes der Schadenminderungspflicht. Aus Art. 17 Abs. 1 Satz 2 AVIG ergibt sich die Pflicht, den Eintritt der Arbeitslosigkeit zu verhindern. Die versicherte Person muss somit selbstverschuldete Arbeitslosigkeit vermeiden, nicht zu Lasten der Versiche- rung auf Lohn- und Entschädigungsansprüche verzichten und sich vom Zeitpunkt der Kündigung des früheren Arbeitsverhältnisses an, beziehungsweise bei einem befristeten Arbeitsverhältnis mindestens während den letzten 3 Monaten, intensiv um eine neue Arbeit bemühen, nötigenfalls auch ausserhalb ihres bisherigen Berufes (NUSSBAUMER, Arbeitslosenversicherung, in: Schwei- zerisches Bundesverwaltungsrecht [SBVR], Bd. XIV, Soziale Sicherheit, 2. Aufl. 2005, S. 2272</w:t>
      </w:r>
    </w:p>
    <w:p>
      <w:r>
        <w:t>Kantonsgericht KG Seite 4 von 9 Rz. 311 f.; Rz. B311 und B314 der AVIG-Praxis ALE [nachfolgend: AVIG-Praxis] des Staats- sekretariats für Wirtschaft SECO). Die Eigeninitiative der versicherten Person hat sich laut Art. 17 Abs. 1 Satz 2 AVIG wenn nötig auch auf ausserberufliche Arbeitsgelegenheiten zu erstrecken. Nach Art. 16 Abs. 1 AVIG muss der Versicherte zur Schadenminderung grundsätzlich jede Arbeit unverzüglich annehmen. Dessen Abs. 2 besagt, dass eine Arbeit unzumutbar und somit von der Annahmepflicht ausgenommen ist, die nicht angemessen auf die Fähigkeiten oder auf die bisherige Tätigkeit des Versicherten Rück- sicht nimmt (lit. b) oder welche die Wiederbeschäftigung des Versicherten in seinem Beruf we- sentlich erschwert, falls darauf in absehbarer Zeit überhaupt Aussicht besteht (lit. d). Daraus hat die Rechtsprechung geschlossen, spezielle Berufe mit einem kleinen Stellenangebot dürften nicht von Anfang an vom Versicherungsschutz ausgeschlossen werden. Vielmehr sei auch Arbeitneh- menden mit solchen Berufen bei Eintritt der Arbeitslosigkeit zunächst die Gelegenheit einzu- räumen, Tätigkeiten im erlernten Beruf oder in der bisherigen Tätigkeit zu suchen. Bei längerer Dauer der Arbeitslosigkeit bestehe innerhalb der Schranken von Art. 16 Abs. 2 lit. b und d AVIG für die Annahme einer ausserberuflichen Tätigkeit indessen eine erhöhte Pflicht. Ab wann und in welchem Ausmass der Verzicht auf ausserberufliche Arbeitsbemühungen arbeitslosen Personen unter dem Gesichtspunkt der Schadenminderungspflicht zum Vorwurf gemacht werden könne, beurteile sich auf Grund der konkreten Umstände des Einzelfalls, so etwa in Berücksichtigung der auf dem Arbeitsmarkt für die bisherige Tätigkeit vorhandenen Stellenangebote. Zur Frage, ob die versicherte Person allenfalls verpflichtet ist, die Arbeitssuche bereits während der Kündigungszeit auf weitere Branchen auszudehnen, hat das Bundesgericht bisher – soweit ersichtlich – nicht aus- drücklich Stellung genommen. Nimmt die Rücksichtnahme auf Art. 16 Abs. 2 lit. b AVIG mit länger- dauernder Arbeitslosigkeit ab, ist die in Art. 17 Abs. 1 Satz 2 AVIG statuierte Schadenminderungs- pflicht zu Beginn der Stellensuche noch nicht allzu streng zu handhaben (BGE 139 V 524 E. 2.1.3 mit Hinweisen). b) Gemäss Art. 30 Abs. 1 lit. c AVIG ist die versicherte Person in der Anspruchsberechtigung auf Arbeitslosenentschädigung einzustellen, wenn sie sich persönlich nicht genügend um zumut- bare Arbeit bemüht. Zudem ist eine Einstellung auch dann möglich, wenn der Versicherte von seinen RAV-Berater noch keine Angaben hinsichtlich der Anzahl der pro Kontrollperiode ver- langten Arbeitsbemühungen erhalten hat (Urteil EVG C 78/05 vom 14. September 2005).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w:t>
      </w:r>
    </w:p>
    <w:p>
      <w:r>
        <w:t>Kantonsgericht KG Seite 5 von 9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Streitig ist, ob das AMA zu Recht den Beschwerdeführer in seiner Anspruchsberechtigung auf Arbeitslosengelder wegen ungenügenden Arbeitsbemühungen eingestellt hat. a) Der Beschwerdeführer bringt vor, ihm sei als qualifizierter Berufsmann das Recht zuzu- gestehen, sich zunächst für seine Arbeitsbemühungen auf den bisherigen Berufszweig zu be- schränken. Die Tatsache, dass von ihm gemäss dem ersten Beratungsgespräch vom Juni 2013 pro Kontrollperiode lediglich 7 Bewerbungen statt den normalerweise verlangten 10–12 gefordert würden, zeige klar, dass er sich in einer speziellen beruflichen Situation befinde. Auch habe die RAV-Beraterin ihm keine Stelle aufzeigen können, auf welche er sich nicht gemeldet habe. Zudem sei nicht nur die Quantität der Bewerbungen, sondern auch deren Qualität von Bedeutung. Ferner sei er nie verwarnt worden und habe damit gar keine Möglichkeit gehabt, sich zu verbessern. Insgesamt habe das AMA die Umstände des konkreten Falles zu wenig berücksichtigt. b) Das AMA seinerseits ist der Ansicht, die mittlerweile in ausreichender Anzahl vorgenom- menen Bewerbungen gäben nicht Anlass, die vorher ungenügenden Arbeitsbemühungen anders zu beurteilen. Angesichts seines spezifischen Profils mit einer qualifizierten Ausbildung, hätte er sich noch viel intensiver um eine neue Stelle bemühen müssen. Der Beschwerdeführer sei ge- nügend hinsichtlich seiner Pflichten informiert gewesen, dies spätestens aufgrund der am 3. No- vember 2011 erfolgten Sanktion infolge ungenügender Arbeitsbemühungen im Monat August 2011. c) Als Vorbemerkung ist festzuhalten, dass die Ausführungen des Beschwerdeführers, wo- nach die Einstellung von 2011 wegen ungenügender Arbeitsbemühungen während der Kontroll- periode August 2011 rechtswidrig gewesen sei, nicht gehört werden können, da der Einsprache- entscheid vom 29. Mai 2012 in Rechtskraft erwachsen ist. d) Aus dem Dossier ergibt sich, dass der Beschwerdeführer während der Kontrollperiode April 2013 2 Bewerbungen und während der Kontrollperiode Mai 2013 deren 3 gemacht hat. Dies ist, unabhängig von der Qualität, welche vom AMA explizit nicht bemängelt wird, als ungenügend zu betrachten. Von Bedeutung ist vorliegend, dass der Beschwerdeführer innerhalb relativ kurzer Zeit bereits zum zweiten Mal arbeitslos ist und er deshalb seine Pflichten gegenüber der Arbeitslosenversicherung kennen musste. Gemäss der allgemeinen aus Art. 17 AVIG fliessenden Schadenminderungspflicht hat er alle Vorkehrungen zu treffen, um Arbeitslosigkeit zu verhindern. Im Bereich der Arbeits- losenversicherung gilt – wie gesehen – gewissermassen der Grundsatz, dass die Arbeitsbemühun- gen umso intensiver sein müssen, je weniger Aussicht eine versicherte Person hat, eine Stelle zu</w:t>
      </w:r>
    </w:p>
    <w:p>
      <w:r>
        <w:t>Kantonsgericht KG Seite 6 von 9 finden. Dabei stehen sowohl Tatsache als auch Intensität, nicht aber der Erfolg dieser Bemühun- gen im Vordergrund. Deshalb ist der Einwand des Beschwerdeführers, alle im späteren Verlauf ge- machten Arbeitsbemühungen ausserhalb seines Berufszweiges seien ohne Erfolg gewesen, nicht von Relevanz. Der Beschwerdeführer weist zwar zu Recht darauf hin, dass ihm als qualifizierter Berufsmann zu Beginn seiner Arbeitslosigkeit das Recht einzuräumen sei, sich zunächst auf seinen bisherigen Be- rufszweig zu beschränken, was von der höchstrichterlichen Rechtsprechung, wie gesehen, aner- kannt wird. Dennoch müssen auch unter diesem Aspekt die Anzahl der vom Beschwerdeführer vorgenommenen Arbeitsbemühungen als ungenügend betrachtet werden. Das Erstgespräch fand zwar erst relativ spät am 5. Juni 2013 statt. Dabei wurde das Minimum der Arbeitsbemühungen pro Kontrollperiode auf 7 festgelegt. Es ist nun aber nicht so, dass der Beschwerdeführer vorher über- haupt keine Anhaltspunkte in Bezug auf die von ihm vernünftigerweise zu erwartenden Arbeitsbe- mühungen gehabt hätte. Während seiner Arbeitslosigkeit im Jahr 2011 wurden von ihm mindes- tens 4 Bewerbungen pro Kontrollperiode verlangt. Es hätte deshalb durchaus von ihm erwartet werden können, wie es das AMA zu Recht festhält, bis zu dem Zeitpunkt, wo er vom RAV eine neue Vorgabe erhält, zumindest wiederum in diesem Rahmen Arbeitsbemühungen vorzunehmen. Dies namentlich unter der Berücksichtigung der Tatsache, dass er schon einmal, die Kontrollpe- riode August 2011 betreffend, wegen ungenügenden Arbeitsbemühungen in seiner Anspruchsbe- rechtigung auf Arbeitslosenentschädigung eingestellt wurde, weshalb es von ihm hätte erkennbar sein müssen, dass 2 bzw. 3 Bewerbungen pro Kontrollperiode nicht genügen können. Zudem, auch wenn es sich beim Beschwerdeführer um einen qualifizierten Berufsmann (eidgenössisch diplomierter Versicherungsfachmann mit Weiterbildungen zum Marketingplaner ifks sowie zum Finanzplaner mit eidgenössischen Fachausweis) handelt, ist die Versicherungsbranche – ebenfalls für Kaderleute – als ein relativ grosser Arbeitssektor anzusehen. Ferner ist davon auszugehen, dass der Beschwerdeführer, welcher den grössten Teil seines Berufslebens in diesem Bereich tätig war, über ein gutes Netzwerk verfügt. Es wäre ihm deshalb durchaus zumutbar gewesen, sich nicht nur auf ausgeschriebene Stellen zu melden, sondern auch Spontanbewerbungen einzu- reichen. Auch das Argument, er habe ab Juni 2013 immer die quantitativen Anforderungen hinsichtlich seiner Arbeitsbemühungen erfüllt, ist nicht von Bedeutung. Jede Kontrollperiode wird gesondert für sich betrachtet und Kompensationen zwischen den Kontrollperioden sind nicht möglich. Deshalb ermöglicht die Tatsache, dass er im weiteren Verlauf Bewerbungen in genügender Anzahl vorge- nommenen hat, es nicht, die vorherigen ungenügenden Perioden anders zu bewerten. Schliesslich ist das Argument, er sei nie verwarnt worden und habe somit gar nicht die Möglichkeit gehabt, sich zu bessern, nicht von Relevanz. Wie dargestellt, ist eine der Einstellung voran- gehende Mahnung nicht erforderlich. In diesem Sinne besteht auch nicht – im Gegensatz zur An- sicht des Beschwerdeführers – eine Beratungspflicht des RAV. Das vom Beschwerdeführer dies- bezüglich angeführte Urteil EVG C 226/06 vom 23. Oktober 2007 E. 4.2.2 ist mit dem vorliegenden Fall nicht vergleichbar, da hier die Vermittlungsfähigkeit nicht bestritten ist. Ebenfalls ist es nicht Aufgabe des RAV, ihm eine Arbeitsstelle zu finden. Zudem war der Beschwerdeführer bereits im zweiten Semester 2011 arbeitslos und musste sich, wie erwähnt, seinen Verpflichtungen gegen- über der Arbeitslosenversicherung bestens bewusst sein. Dies vor allem auch deshalb, da er schon im Jahr 2011 einmal wegen ungenübenden Arbeitsbemühungen in seiner Anspruchsbe- rechtigung eingestellt worden war.</w:t>
      </w:r>
    </w:p>
    <w:p>
      <w:r>
        <w:t>Kantonsgericht KG Seite 7 von 9 Insgesamt ging das AMA damit zu Recht von einem sanktionswürdigen Verhalten des Beschwer- deführers aus.</w:t>
      </w:r>
    </w:p>
    <w:p>
      <w:r>
        <w:rPr>
          <w:b/>
        </w:rPr>
        <w:t>E. 4</w:t>
      </w:r>
    </w:p>
    <w:p>
      <w:r>
        <w:t>Zu prüfen bleibt, ob der angefochtene Einspracheentscheid auch hinsichtlich der Dauer der Einstellung in der Anspruchsberechtigung rechtmässig ist, d. h. ob das AMA mit der Einstellungs- dauer von jeweils 12 Tagen dem Verschulden des Beschwerdeführers angemessen Rechnung getragen hat. a) Gemäss Art. 30 Abs. 3 AVIG und Rz. D59 AVIG-Praxis bemisst sich die Dauer der Ein- stellung nach dem Grad des Verschuldens und beträgt je nach Einstellungsgrund höchstens 60 Tage. Art. 45 Abs. 3 der Verordnung vom 31. August 1983 über die obligatorische Arbeitslosenver- sicherung und die Insolvenzentschädigung (AVIV; SR 837.02) unterscheidet zwischen leichtem (1– 15 Tage), mittlerem (16–30 Tage) und schwerem Verschulden (31–60 Tage). Wird die versicherte Person wiederholt in der Anspruchsberechtigung eingestellt, so wird die Einstellungsdauer ange- messen verlängert. Für die Verlängerung werden die Einstellungen der letzten zwei Jahre berück- sichtigt (Art. 45 Abs. 5 AVIV).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bei erstmals ungenügenden Arbeitsbe- mühungen während einer Kontrollperiode 3–4 Tage, bei zweitmals ungenügenden Arbeitsbe- mühungen 5–9 Tage, bei drittmals ungenügenden Arbeitsbemühungen 10–19 Tage zudem ver- sehen mit dem Hinweis, dass bei weiteren ungenügenden Arbeitsbemühungen die Vermittlungs- fähigkeit geprüft werde. Der Sozialversicherungsrichter darf sein Ermessen nicht ohne triftigen Grund an die Stelle des- 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Erw. 2 mit Hin- weisen). b) Der Beschwerdeführer bringt hinsichtlich der Sanktionshöhe vor, diese sei aufgrund seines Gesamtverhaltens unverhältnismässig. So müsse berücksichtigt werden, dass das RAV nicht wie üblich 10–12, sondern nur deren 7 Bewerbungen pro Kontrollperiode verlangt habe, an</w:t>
      </w:r>
    </w:p>
    <w:p>
      <w:r>
        <w:t>Kantonsgericht KG Seite 8 von 9 lässlich des Erstgesprächs im Juni 2013 das RAV keine Stelle finden konnte, auf welche er sich nicht beworben habe, seine Bewerbungen von hoher Qualität seien, seine spezielle berufliche Situation und, dass er aus eigener Initiative und auf eigene Kosten Massnahmen eingeleitet habe, um eine neue Arbeit zu finden. c) Die besondere berufliche Situation des Beschwerdeführer wurde hier sehr wohl miteinbe- zogen, weshalb von ihm auch nur 7 Arbeitsbemühungen verlangt werden und zudem das AMA zu verstehen gibt, dass bis zur Festsetzung der Mindestanforderungen anlässlich des Erstgesprächs vom Juni 2013 es genügt hätte, wenn er zumindest 4 Bewerbungen pro Kontrollperiode einge- reicht hätte. Die Qualität seiner Bewerbungen wurde zudem nie in Frage gestellt. Dass er aus eigener Initiative und auf eigene Kosten Massnahmen eingeleitet hat, um eine neue Arbeit zu finden, so namentlich eine Laufbahnberatung, ist zwar durchaus als positiv zu werten, kann von ihm aber erwartet werden, weil er infolge der allgemeinen Schadenminderungspflicht alles zu unternehmen hat, um die Arbeitslosigkeit zu vermeiden bzw. zu verkürzen. Demgegenüber musste sich der Beschwerdeführer seinen Pflichten gegenüber der Arbeitslosen- versicherung – wie schon festgehalten – klar bewusst sein, da er sich für ihn um die zweite Arbeitslosigkeit innert relativ kurzer Frist handelte. Zudem war er bereits anlässlich seiner ersten Arbeitslosigkeit einmal wegen ungenügender Arbeitsbemühungen sanktioniert worden und er hätte sich durchaus bewusst sein müssen, dass 2 bzw. 3 Arbeitsbemühungen nicht genügen können. Dennoch erscheint die ausgesprochene Sanktion als zu streng. Dies deshalb, weil es erst relativ spät, am 5. Juni 2013, zu einem ersten Beratungsgespräch gekommen ist und er somit erst zu diesem Zeitpunkt darüber informiert wurde, dass hinsichtlich der Kontrollperioden April und Mai 2013 seine Arbeitsbemühungen ungenügend waren. Auch erst am 5. Juni 2013 erfuhr er, dass die von ihm während der Kündigungsfrist vorgenommenen Arbeitsbemühungen nicht genügten (vgl. Dossier 605 2014 57). Damit erscheint es angebracht, bezüglich der Sanktionshöhe einzig die ungenügenden Arbeitsbemühungen von August 2011 zu berücksichtigten gemäss der Zweijahres- regel von Art. 45 Abs. 5 AVIV und pro Kontrollperiode die Einstellung auf 8 Tage festzulegen, analog dem Sachverhalt der zum zweiten Mal ungenügenden Arbeitsbemühungen.</w:t>
      </w:r>
    </w:p>
    <w:p>
      <w:r>
        <w:rPr>
          <w:b/>
        </w:rPr>
        <w:t>E. 5</w:t>
      </w:r>
    </w:p>
    <w:p>
      <w:r>
        <w:t>Zusammenfassend ist von einem sanktionswürdigen Verhalten des Beschwerdeführers aus- zugehen. Unter Berücksichtigung der konkreten hier vorliegenden Umstände rechtfertigt es sich aber, die vom AMA verfügte Einstellung in der Anspruchsberechtigung auf Arbeitslosenentschädi- gung für beide hier streitigen Kontrollperiode von jeweils 12 auf 8 Tage zu reduzieren. Die Be- schwerde ist teilweise gutzuheissen. Gemäss dem hier zur Anwendung kommenden Prinzip der Kostenlosigkeit des Verfahrens werden keine Gerichtskosten erhoben. Da der Beschwerdeführer nur teilweise obsiegt, hat er einzig Anspruch auf eine partielle Ent- schädigung zu Lasten des AMA. Diese wird für beide Verfahren zusammen auf insgesamt auf CHF 1'000.- festgesetzt, wobei dieser Betrag Honorar und Auslagen umfasst. Inklusive der Mehrwert- steuer von CHF 80.- (8% von CHF 1'000.-) ergibt sich ein Totalbetrag von CHF 1'080.-.</w:t>
      </w:r>
    </w:p>
    <w:p>
      <w:r>
        <w:t>Kantonsgericht KG Seite 9 von 9 Der Hof erkennt: I. Die Verfahren 605 2014 58 und 605 2014 59 werden vereinigt. II. Die Beschwerden von A.________ werden teilweise gutgeheissen. a) Der Einspracheentscheid vom 12. Februar 2014 (Nr. 13/334) wird in dem Sinne angepasst, dass die Einstellung in der Anspruchsberechtigung auf Arbeitslosenentschädigung auf 8 Tage reduziert wird. b) Der Einspracheentscheid vom 12. Februar 2014 (Nr. 13/335) wird in dem Sinne angepasst, dass die Einstellung in der Anspruchsberechtigung auf Arbeitslosenentschädigung auf 8 Tage reduziert wird. III. Es werden keine Gerichtskosten erhoben. IV. A.________ wird eine Parteientschädigung von insgesamt CHF 1'000.- für Honorar und Auslagen sowie von CHF 80.- für die Mehrwertsteuer (8% von CHF 1'000.-) und damit total von CHF 1'080.- zu Lasten des Amtes für den Arbeitsmarkt, Freiburg,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August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