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25 vom 17. August 2016</w:t>
      </w:r>
    </w:p>
    <w:p>
      <w:r>
        <w:t>FR Kantonsgericht, 2016-08-17, FR</w:t>
      </w:r>
    </w:p>
    <w:p>
      <w:r>
        <w:rPr>
          <w:b/>
        </w:rPr>
        <w:t xml:space="preserve">Quelle: </w:t>
      </w:r>
      <w:r>
        <w:t>https://mcp.opencaselaw.ch/entscheid/fr_gerichte_605_2014_25</w:t>
      </w:r>
    </w:p>
    <w:p>
      <w:r>
        <w:t>FR: FR_GERICHTE 605 2014 25 du 17 août 2016</w:t>
      </w:r>
    </w:p>
    <w:p>
      <w:r>
        <w:t>IT: FR_GERICHTE 605 2014 25 del 17 agosto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Aux termes de l'art. 6 al. 1 de la loi fédérale du 20 mars 1981 sur l'assurance-accidents (LAA; RS 832.20),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ou mentale ou qui entraîne la mort. a) Selon la jurisprudence (ATF 129 V 402 consid. 2.1 p. 404, 122 V 230 consid.1 p. 232 ss), la notion d’accident se décompose en cinq conditions, qui doivent être cumulativement réalisées: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Il résulte de la définition même de l’accident que le caractère extraordinaire de l’atteinte ne concerne pas les effets du facteur extérieur, mais seulement ce facteur lui-même. Dès lors, il importe peu que le facteur extérieur ait entraîné,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231, 121 V 35 consid. 1a p. 38, 118 V 59 consid. 2b p. 61). b) Le point de savoir si un acte médical peut constituer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w:t>
      </w:r>
    </w:p>
    <w:p>
      <w:r>
        <w:t>Tribunal cantonal TC Page 4 de 11 ce fait objectivement de gros risques (ATF 121 V 35 consid. 1b p. 38, 118 V 283 consid. 2b p. 284, TF 8C_535/2012, TF 8C_767/2012).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aux fournisseurs de prestations médicales (RAMA 2000 n° U 407 p. 404, U 225/99 consid. 2 et 9b).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p. 39 et les références). Enfin, on précisera que l’indication d’une intervention chirurgicale n’est pas un critère juridiquement pertinent pour juger si un acte médical répond à la définition légale de l’accident (ATF 118 V 283). Toujours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114 V 305 consid. 5b). Les mêmes principes sont applicables, logiquement, en ce qui concerne la preuve d'une lésion assimilée à un accident (ATF 114 V 306 consid. 5b). c)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Enfin,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(RAMA 1991 p. 311; VSI 1997 p. 121). En principe, n’est donc décisif, pour la valeur probatoire, ni l’origine, ni la désignation d’un moyen de preuve, mais bien son contenu (ATF 122 V 157 et références citées).</w:t>
      </w:r>
    </w:p>
    <w:p>
      <w:r>
        <w:rPr>
          <w:b/>
        </w:rPr>
        <w:t>E. 3</w:t>
      </w:r>
    </w:p>
    <w:p>
      <w:r>
        <w:t>Est litigieuse, en l'espèce, la question de savoir si la recourante a été victime d’une erreur médicale assimilable à un accident. Cette dernière considère que les deux injections sous-cutanées de Kenacort-A40 réalisées par son médecin de famille pour traiter ses céphalées l’ont été en violation grave des règles de l’art et peuvent par conséquent être assimilées à un accident. La Bâloise de son côté conteste la survenance d’un accident résultant des injections de Kenacort- A40. Elle soutient que les prescriptions du Dr B.________ ne s’écartent pas de la pratique courante en médecine, n’impliquent pas objectivement de gros risques et n’ont par conséquent pas un caractère extraordinaire. Ainsi, il n’appartient pas à l’assurance-accidents obligatoire de couvrir les frais médicaux et les indemnités journalières résultant de l’incapacité de travail de la</w:t>
      </w:r>
    </w:p>
    <w:p>
      <w:r>
        <w:t>Tribunal cantonal TC Page 5 de 11 recourante puisque l’état de santé de cette dernière ne résulte pas d’un accident ou d’une lésion corporelle assimilée à un accident. Il s’agit de se référer au dossier médical. a) événement litigieux et ses suites aa) En avril 2012, la recourante a rapporté à son nouveau médecin traitant, le Dr B.________, la survenue de céphalées d’intensité modérée à sévère qui évoluaient sur un mode chronique. Vers la quarantaine, elle avait déjà présenté des céphalées fluctuantes, décrites comme modérées, mais celles-ci se soulageaient rapidement. Le 5 juin 2012, l’assurée a sollicité l’avis du Dr B.________ quant à la persistance de ses céphalées désormais résistantes au traitement habituel. Ce praticien a alors réalisé une évaluation et lui a prescrit un nouveau traitement. Le 15 juin 2012, dans le cadre de ce nouveau traitement, il lui a injecté 40mg de Kenacort-A40 en région pariétale droite sous-cutanée. Trois semaines plus tard, les céphalées se sont modifiées. Initialement diffuses, elles semblaient désormais localisées à proximité du lieu d’injection irradiant vers le nez, les oreilles et la face. La recourante a en outre constaté l’apparition de lésions cutanées de type acné et une sensation d’oppression thoracique. Une seconde injection a eu lieu le 20 juillet 2012, vu la persistance des phénomènes douloureux de la tête et la modification des algies. Après quoi la recourante a subi une atrophie cutanée, une alopécie au niveau de la zone d’injection ainsi qu’une allodynie. Elle ne supportait plus le contact de ses cheveux avec la peau au lieu de l’injection. Elle s’est retrouvée en incapacité de travail dès le 25 septembre 2012 à la suite de ces injections et a été soignée par divers médecins. bb) Les 14, 28 septembre et 11 octobre 2012, la recourante a effectué des angio-IRM cérébraux et carotidiens qui se sont révélés sans particularité, ainsi qu’un IRM du rachis cervical ne montrant que des atteintes dégénératives non significatives. Les différents médecins n’ont décelé aucun facteur pouvant favoriser des céphalées (cf. rapports des Drs D.________, E.________ et F.________, expertise de la Clinique Corela du 14 janvier 2014, pages 92 ss) Le 8 octobre 2012, elle a consulté le Dr G.________, oto-rhino-laryngologue qui a observé des acouphènes à droite, ainsi qu’une légère perte auditive. Il a néanmoins relevé l’absence de problèmes cochléo-vestibulaires à l’origine des céphalées. Il a toutefois prescrit un antivertigineux et proposé un suivi auprès d’un neurologue. Le Professeur H.________, neurologue, a pris en charge la recourante depuis le 31 octobre 2012. Ce dernier a retenu des céphalées à composantes migraineuses, une algie faciale avec allodynie, ainsi qu’un discret syndrome cervical. Lors de sa deuxième consultation, le 26 novembre 2012, l’assurée a signalé au neurologue une déformation de l’ossature de sa tête dans la région pariétale droite. Le 28 novembre 2012, la recourante s’est rendue à une consultation d’endocrinologie auprès du Dr I.________ en raison d’une ménopause tardive qui a nécessité une évaluation de la fonction ovarienne. L’examen aussi bien clinique que biologique a écarté une anomalie endocrinienne et aucun traitement hormonal substitutif n’a été prescrit.</w:t>
      </w:r>
    </w:p>
    <w:p>
      <w:r>
        <w:t>Tribunal cantonal TC Page 6 de 11 Le neurologue a constaté lors de sa consultation du 19 décembre 2012 que les douleurs de la recourante dans la région pariétale droite ne s’estompaient pas malgré une forte médication. Au vu de ces douleurs atypiques, le Professeur H.________ a suspecté une névralgie d’Arnold et a proposé un blocage par infiltration au Centre de la douleur le 20 décembre 2012. Lors de ladite consultation, le Dr J.________, médecin responsable, a relevé que l’assurée était déprimée, anxieuse, stressée et sévèrement handicapée par les douleurs. Il indique au surplus que son problème de céphalées est multifactoriel et complexe. D’une part, il constate que la douleur neuropathique existante sur le sommet du crâne est compatible avec une zone de nécrose secondaire à une infiltration probable de corticostéroïdes en sous-cutanée et, d’autre part, il relève qu’il n’est pas exclu qu’une partie des douleurs soit explicable par une névralgie d’Arnold. Il a également procédé à trois infiltrations et à un décollement de la peau et du périoste dans la zone infiltrée. Le 23 janvier 2013, le Professeur H.________ a constaté que les migraines étaient de plus en plus fréquentes et a dès lors modifié le traitement qui devenait inefficace. Comme les plaintes douloureuses ont persisté, la recourante a effectué un nouvel IRM cérébral le</w:t>
      </w:r>
    </w:p>
    <w:p>
      <w:r>
        <w:rPr>
          <w:b/>
        </w:rPr>
        <w:t>E. 5</w:t>
      </w:r>
    </w:p>
    <w:p>
      <w:r>
        <w:t>Sur le vu de ce qui précède, le recours, mal fondé, doit être rejeté et la décision querellée confirmée. Selon le principe de la gratuité de la procédure valant en la matière, il n’est pas perçu de frais de justice.</w:t>
      </w:r>
    </w:p>
    <w:p>
      <w:r>
        <w:t>Tribunal cantonal TC Page 11 de 11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2016 /smt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