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149 vom 11. August 2016</w:t>
      </w:r>
    </w:p>
    <w:p>
      <w:r>
        <w:t>FR Kantonsgericht, 2016-08-11, FR</w:t>
      </w:r>
    </w:p>
    <w:p>
      <w:r>
        <w:rPr>
          <w:b/>
        </w:rPr>
        <w:t xml:space="preserve">Quelle: </w:t>
      </w:r>
      <w:r>
        <w:t>https://mcp.opencaselaw.ch/entscheid/fr_gerichte_605_2014_149</w:t>
      </w:r>
    </w:p>
    <w:p>
      <w:r>
        <w:t>FR: FR_GERICHTE 605 2014 149 du 11 août 2016</w:t>
      </w:r>
    </w:p>
    <w:p>
      <w:r>
        <w:t>IT: FR_GERICHTE 605 2014 149 del 11 agosto 2016</w:t>
      </w:r>
    </w:p>
    <w:p>
      <w:pPr>
        <w:pStyle w:val="Heading2"/>
      </w:pPr>
      <w:r>
        <w:t>Regeste</w:t>
      </w:r>
    </w:p>
    <w:p>
      <w:r>
        <w:t>Arrêt de la Ie Cour des assurances sociales du Tribunal cantonal | Unfallversicherung</w:t>
      </w:r>
    </w:p>
    <w:p>
      <w:pPr>
        <w:pStyle w:val="Heading2"/>
      </w:pPr>
      <w:r>
        <w:t>Erwägungen</w:t>
      </w:r>
    </w:p>
    <w:p>
      <w:r>
        <w:rPr>
          <w:b/>
        </w:rPr>
        <w:t>E. 26</w:t>
      </w:r>
    </w:p>
    <w:p>
      <w:r>
        <w:t>novembre 2013, estimant que sa capacité de travail résiduelle sur un marché du travail équilibré n’était plus exigible de manière réaliste.</w:t>
      </w:r>
    </w:p>
    <w:p>
      <w:r>
        <w:t>Tribunal cantonal TC Page 3 de 10 Dans ses écritures, le recourant se réfère aux appréciations de l’OAI.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En vertu de l'art. 6 de la loi fédérale du 20 mars 1981 sur l'assurance-accidents (LAA; RS 832.20), si la présente loi n’en dispose pas autrement, les prestations d’assurance sont allouées en cas d’accident professionnel, d’accident non professionnel et de maladie professionnelle. a) Selon l'art. 4 LPGA, est réputé accident toute atteinte dommageable, soudaine et involontaire, portée au corps humain par une cause extérieure extraordinaire qui compromet la santé physique, mentale ou psychique ou qui entraîne la mort. La responsabilité de l'assureur-accidents s'étend, en principe, à toutes les conséquences dommageables qui se trouvent dans un rapport de causalité naturelle et adéquate avec l'événement assuré. b) La condition du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p. 75 consid. 4b). Enfin, admettre l'existence d'un lien de causalité au seul motif que des symptômes sont apparus après un accident revient à se fonder sur l'adage "post hoc ergo propter hoc", lequel ne permet pas d'établir l'existence d'un tel lien (Tribunal fédéral, arrêt non publié 8C_6/2009 du 30 juillet 2009 consid. 3; ATF 119 V 335 consid. 2b/bb; RAMA 1999 n° U 341 p. 408 s. consid. 3b). c) Le droit à des prestations de l'assurance-accidents suppose, outre un lien de causalité naturelle, un rapport de causalité adéquate entre l'accident et l'atteinte à la santé, question de droit qu'il appartient à l'administration et, en cas de recours, au juge de trancher. Selon la jurisprudence,</w:t>
      </w:r>
    </w:p>
    <w:p>
      <w:r>
        <w:t>Tribunal cantonal TC Page 4 de 10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117 V 359 consid. 5a, 117 V 369 consid. 4a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d)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(status quo ante), soit lorsqu'est atteint l'état de santé, tel qu'il serait survenu tôt ou tard, indépendamment de l'accident, selon l'évolution d'un état maladif antérieur (status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3. Aux termes de l'art. 8 de la loi du 6 octobre 2000 sur la partie générale du droit des assurances sociales (LPGA; RS 830.1), est réputé invalidité l'incapacité de gain totale ou partielle qui est présumée permanente ou de longue durée. a)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 4.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w:t>
      </w:r>
    </w:p>
    <w:p>
      <w:r>
        <w:t>Tribunal cantonal TC Page 5 de 10 5.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3b/cc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6. Est tout d’abord litigieuse la relation de causalité entre l’accident du mois de septembre 2011 et les troubles au niveau de la cheville gauche. La Suva la conteste en effet. a) A cet égard, elle a produit un nouveau moyen de preuve avec ses observations, à savoir une appréciation orthopédique du Dr C.________. Le recourant considère que ce moyen est tardif. Dans la mesure où il a eu l’occasion de se déterminer sur son contenu dans le cadre de la présente procédure, on ne voit pas pourquoi ce document médical devrait être écarté pour le principe, d’autant moins qu’il est en lien direct avec l’objet du litige et dès lors susceptible d’éclairer la Cour de céans, qui jouit en l’espèce d’un plein pouvoir de cognition. Ce moyen de preuve ne peut quoi qu’il en soit être assimilé à un « fait nouveau » au sens où l’entend le recourant: il ne constitue en effet qu’une appréciation médicale de plus, laquelle ne fait au demeurant, on le verra, que confirmer le dossier médical sur ce premier point litigieux. Le recourant n’en a, cela étant, pas véritablement contesté le contenu, qui exclut tout lien de causalité naturelle entre les troubles présentés par ce dernier à la cheville gauche et l’accident du 1er septembre 2011. b) Par ailleurs il ressort manifestement de divers rapports médicaux que cette lésion était préexistante.</w:t>
      </w:r>
    </w:p>
    <w:p>
      <w:r>
        <w:t>Tribunal cantonal TC Page 6 de 10 Ainsi, le Dr D.________, médecin d’arrondissement de la Suva a précisé le 18 décembre 2012 que les lésions dégénératives de la cheville étaient étrangères à l’accident du 1er septembre 2011. Dans son rapport du 6 août 2013, le Dr E.________, autre médecin d’arrondissement, a pour sa part indiqué, en se basant sur une radiographie et une IRM, que les lésions à la cheville gauche étaient clairement plus anciennes que l’événement du 1er septembre 2011. Elles n’occasionnaient même selon lui aucune atteinte à l’intégrité. Le médecin traitant, le Dr F.________, a enfin relevé dans son rapport du 9 mai 2014 que son patient était aussi suivi pour une importante arthrose tibio-astragalienne de la cheville gauche suite à un traumatisme survenu il y a une quarantaine d’années. Il a également précisé ceci dans son rapport du 11 juin 2014: « quand à la cheville, se sont les suites opératoires d’un accident de la voie publique opérée en ancienne Yougoslavie, il y a quelques années. On notait plusieurs cals vicieux au niveau tibia-péroné ». Et il a encore mentionné, dans son dernier rapport du 14 juin 2014, que la cheville gauche avait été opérée à plusieurs reprises. A côté de tout cela, on fera enfin remarquer que les douleurs à la cheville gauche ne sont signalées qu’à partir du 10 décembre 2012, soit plus d’un an après l’accident. c) Quant au rapport du Dr C.________, contesté au départ, il ne dit au fond rien d’autre que ceux de ses confrères: au vu des radiologies effectuées l’atteinte notée au niveau de la cheville gauche correspond bien à une atteinte ancienne: « L’arthrose de la cheville s’explique par les antécédents fractuaires à ce niveau (malléole externe et possiblement malléole interne) mais également par la déformation résiduelle au niveau du tibia distal en status après fracture, ayant entraîné un changement de la congruence tibio-astragalienne, avec à la clé une arthrose prédominant antérieurement. Il précise encore qu’en l’absence d’anamèse relative à la cheville dans le décours précoce de l’accident, y compris lors du séjour à la CRR, et en l’absence de lésions traumatiques récentes mise en évidence sur les examens complémentaires, il ne peut être établi aucun lien de causalité entre les troubles présentés à la cheville gauche et l’accident du 1er septembre 2011. En revanche, ces mêmes troubles à la cheville gauche sont tout à fait compatibles avec le status dégénératif arthrosique consécutif à une atteinte traumatique ancienne. On rappellera à ce propos que lorsque l’assuré a fait une demande de prestations à l’Assurance Invalidité, il n’a signalé que ses problèmes au genou gauche ». L’ensemble du dossier médical tend ainsi à démontrer qu’il n’existe aucun lien de causalité naturelle entre l’accident survenu en 2011 et l’atteinte dégénérative préexistante signalée au niveau de la cheville gauche. Partant, le refus de la Suva de prendre à sa charge les troubles de la cheville gauche parce qu’ils reposeraient exclusivement sur des facteurs étrangers à l’accident du 1er septembre 2011 était juridiquement fondé. 7. Est encore litigieuse, la capacité de travail résultant de la seule atteinte située au niveau du genou gauche, dont le recourant s’est immédiatement plaint après l’accident. Il convient ici de revenir sur le parcours médical de l’assuré. a) accident et ses suites Le 1er septembre 2011, le recourant, alors âgé de 62 ans, machiniste en chape, travaillant pour l’entreprise de l’un de ses fils, a reçu une palette sur le genou gauche.</w:t>
      </w:r>
    </w:p>
    <w:p>
      <w:r>
        <w:t>Tribunal cantonal TC Page 7 de 10 aa) Le rapport médical du 11 octobre 2011 établi par le Dr G.________, radiologue FMH, basé sur l’IRM effectuée le même jour, pose le diagnostic de lésion transversale de la corne postérieure du ménisque interne et œdème de l’os spongieux en miroir du compartiment fémoro- tibial interne avec des lésions cartilagineuses en regard se caractérisant par une ulcération de surface d’une longueur de 1 cm. Plusieurs séances de physiothérapie lui ont été prescrites. Le Dr H.________, spécialiste FMH en chirurgie orthopédique, relève dans ses rapports que la situation de son patient ne s’est pas améliorée, ses plaintes étant toujours identiques, notamment les douleurs mécaniques qui l’empêchent de marcher pendant une longue période. Il a dès lors recommandé une arthroscopie du genou. Il a par ailleurs indiqué à son patient que d’autres interventions seraient probablement nécessaires pour traiter sa pathologie de fond chronique. Toutefois, cette première opération avait avant tout pour but d’obtenir la situation préexistante à l’accident (dossier Suva, pièces 16 à 18). Dans son rapport opératoire du 24 novembre 2011, le Dr H.________ indique que les investigations sous forme d’une IRM ont mis en évidence une rupture franche du ménisque interne, une petite fracture d’un ostéophyte, ainsi que des lésions dégénératives, sous la forme d’une arthrose fémoro-tibiale interne post traumatique du genou gauche. Suite à cette intervention, la situation du recourant ne s’est pas significativement améliorée. bb) Il a séjourné à la Clinique romande de réadaptation de Sion (ci-après CRR) du 14 mars au 11 avril 2012, où a été diagnostiqué un traumatisme du genou gauche avec une lésion du ménisque interne avec œdème osseux. Des lésions cartilagineuses en fémoro-tibial interne sont également constatées suite à l’IRM du 11 octobre 2011. Des antécédents de fractures du tibia et du péroné gauche datant d’une quarantaine d’années sont encore signalés. Le Dr F.________, vers qui le recourant avait été redirigé, a constaté une récidive de douleurs. Dès lors, conjointement avec les spécialistes valaisans et le Dr H.________, ils ont confirmé l’indication opératoire à une prothèse unicompartimentale (dossier Suva, pièces 47,48). cc) Suite à cette seconde intervention, pratiquée le 21 juin 2012, le recourant a récupéré progressivement, à l’aide de physiothérapie de mobilisation et de marche. Le bilan radiologique était favorable après 3 mois. Le Dr F.________ a pu constater qu’il n’y avait pas de modification de la structure osseuse du genou et que l’aspect post opératoire était normal. Après nouvelle consultation du 10 décembre 2012, le genou a continué à évoluer favorablement, les plaintes ne concernant plus que la cheville gauche. C’est à cette occasion que l’on a mis en évidence une importante arthrose tibio-astragalienne. En mars 2012, le Dr F.________ a relevé une excellente évolution de la situation au niveau du genou gauche. b) estimation de la capacité de travail aa) Lors de l’examen médical final du 5 avril 2013, le Dr E.________ a constaté qu’au niveau du genou gauche, la situation était parfaitement stabilisée avec un discret syndrome rotulien qui subsistait.</w:t>
      </w:r>
    </w:p>
    <w:p>
      <w:r>
        <w:t>Tribunal cantonal TC Page 8 de 10 Vu le descriptif du poste de travail, notamment les travaux physiques, le port régulier de charges lourdes, la montée d’escaliers, le fait de devoir marcher sur du terrain plat, mais également sur du terrain irrégulier sur les chantiers de même qu’effectuer une partie du travail en position accroupie et à genoux, le médecin d’arrondissement considérait que le recourant était en incapacité de travail à 100% depuis la date de l’accident. Néanmoins, il a précisé que dans toute activité adaptée et tenant compte des limitations mentionnées, l’assuré pourrait travailler à plein temps avec un rendement effectif de 100%. Par décision du 26 novembre 2013, l’OAI a pourtant octroyé une rente d’invalidité au taux de 100%. Mais il l’a tout de même considéré en mesure d’exercer une activité adaptée, sans port de charges de plus de 10 kg, sans déplacement en terrains irréguliers, ni sur échelles, échafaudages, sans station debout prolongée, sans position à genoux ou accroupie, et sans montées, descentes répétées d’escaliers. C’est parce qu’il était déjà âgé qu’on le jugeait non réadaptable dans une autre activité, qu’il n’aurait au demeurant jamais exercée: sa capacité de travail résiduelle sur un marché du travail équilibré n’était ainsi plus exigible de manière réaliste. bb) Dans son rapport du 9 mai 2014, le Dr F.________ s’est contenté de suggérer qu’au vu de la présence d’une prothèse unicompartimentale du genou gauche et une cheville pratiquement bloquée qui nécessitait une arthrodèse, une rente d’invalidité à 27% paraissait inférieure à ce que l’on pouvait prétendre. Il prenait ainsi en compte, dans son appréciation, l’atteinte dégénérative à la cheville gauche vis-à- vis de laquelle l’assurance-accidents n’était toutefois pas responsable. Le Dr C.________ a quant à lui relevé dans son appréciation orthopédique du 12 décembre 2014 que le status dégénératif arthrosique n’avait pas été aggravé, même de manière passagère, par l’accident du 1er septembre 2011. Il a affirmé qu’au vu du résultat objectif et subjectif de l’intervention d’arthroplastie et faisant abstraction des facteurs non pertinents en matière d’assurance-accidents (âge, niveau de formation), il n’existait aucun motif pour considérer une capacité de travail ou un rendement réduit dans les limites de l’exigibilité définie. Enfin, l’arthrose présentée par l’assuré au niveau genou gauche ayant motivé l’intervention d’arthroplastie étant antécédente à l’accident et n’ayant pas été aggravée de manière déterminante par celui-ci, il n’existait pas de droit à une indemnité pour atteinte à l’intégrité. cc) Il découle de tout ce qui précède que le point de vue du recourant, selon lequel la rente est inadaptée à ses séquelles, ne saurait être suivi. Il n’est certes pas contesté qu’il ne puisse plus exercer son activité antérieure. En revanche, une activité adaptée est possible à 100% et sans perte de rendement, selon les médecins d’arrondissement et ceux de la division de la médecine des assurances. Eux seuls se sont véritablement prononcés sur la capacité de travail. Leurs rapports médicaux sont complets et correspondent pleinement aux critères jurisprudentiels en matière de valeur probante des pièces médicales en ce sens qu’ils sont basés sur une lecture attentive du dossier médical, qu’ils se fondent sur des examens complets, qu’ils ont été établis en pleine connaissance de l’anamnèse, que la description du contexte médical et de l’appréciation médicale sont claires et que les conclusions médicales sont dûment motivées. Par ailleurs, le fait</w:t>
      </w:r>
    </w:p>
    <w:p>
      <w:r>
        <w:t>Tribunal cantonal TC Page 9 de 10 qu’ils aient été établis par un médecin-conseil et un médecin de la Division de Médecine des assurances de la Suva ne remet nullement en cause la valeur probante. A cet égard, il est précisé que même si les médecins consultés sont liés à l’assureur par un rapport de travail conformément à la jurisprudence du Tribunal fédéral, cela ne permet pas encore de douter de l’objectivité de son appréciation ni de soupçonner une présomption à l’égard de l’assuré. Or, dans le cas d’espèce, il n’existe aucunes circonstances particulières permettant de douter de l’impartialité du médecin- conseil et du médecin de la Division de Médecine des assurances de la Suva. Quant au médecin traitant, le Dr F.________, s’il continue de prescrire à son patient un arrêt de travail à 100%, il n’en indique toutefois pas les raisons, relevant au contraire la stabilisation du genou gauche et la nette régression de l’atteinte au niveau de la cheville gauche. Cela étant, le recourant n’avait au moment du recours toujours pas donné son accord pour la pratique d’une arthrodèse à la cheville gauche pourtant proposé par ce médecin depuis plusieurs mois et qui pourrait améliorer, voire soigner ses lésions. De plus et au vu des derniers avis de son médecin, il semblerait que la gravité de l’atteinte arthrosique à la cheville gauche soit modérée et que la mobilité soit conservée. Dans ces conditions, il est difficile de comprendre, même en tenant compte de la totalité des atteintes, dont l’une seule engage l’assurance-accidents, pourquoi ce médecin estime que son patient est toujours en incapacité totale de travail. dd) Enfin, comme il a été dit, l’OAI dans sa décision du 26 novembre 2013 a également considéré que le recourant était théoriquement en mesure d’exercer une activité adaptée, sous réserve de certaines limitations. Il y a ainsi lieu de reconnaître au recourant une pleine capacité de travail dans une activité adaptée respectant les limitations fonctionnelles décrites. 8. Est encore litigieux le taux d’invalidité, fixé en l’espèce à 27%. Le recourant conteste à cet égard le revenu d’invalide retenu. Le revenu sans invalidité n’est en revanche pas critiqué et rien ne permet de croire qu’il devrait l’être. a) Le revenu d’invalide a été évalué au regard de données salariales résultant des descriptions de postes de travail (ci-après DPT), documentation qui sert à évaluer le revenu sur la base de possibilités d’emplois concrets et exigibles, ceci donc en conformité avec la jurisprudence ayant trait aux DPT (ATF 129 V 472; arrêt TF U 21/2005 du 14 juin 20006 consid.3.2). Cinq DPT ont été produites et a ainsi été communiqué le nombre total de postes de travail pouvant entrer en considération d’après le type de handicap, ainsi que le salaire le plus élevé et le plus bas, tout comme aussi le salaire moyen du groupe auquel il était fait référence. b) Le recourant prétend dans ses contre-observations du 12 février 2015 que les DPT figurant au dossier ne correspondent pas aux limitations décrites par les différents médecins, étant donné que la première et la cinquième supposent le port de charges supérieures à 5 kg par jour et la deuxième et troisième une position assise. Il indique également que la Suva n’a pas motivé sa première décision en faisant mention des DPT. Sur ce dernier point, force est de remarquer que, tant le Dr E.________ que le Dr C.________, ainsi du reste que l’OAI, n’ont retenu la position assise comme pouvant être une limitation fonctionnelle.</w:t>
      </w:r>
    </w:p>
    <w:p>
      <w:r>
        <w:t>Tribunal cantonal TC Page 10 de 10 Si, dans leurs rapports, le port régulier de charges de plus de 5 kg est certes contre-indiqué, les DPT 1 et 5 proposées par la Suva, ne mentionnent que de « rares » mouvements de soulèvement et port de charges légères, soit au maximum une demi-heure par jour. Pour le Dr E.________ et le Dr C.________, seul un port « régulier » de charge de plus de 5 kg est contre-indiqué. Ainsi, en se fondant sur les DPT, la Suva a dans les faits établi correctement le revenu d’invalide, à CHF 57’788.-. La comparaison entre les revenu de valide (CHF 79'300.-) et d’invalide laisse bien apparaître une perte économique de 27.12%. C’est donc à juste titre que la Suva a fixé la rente d’invalidité à 27% dans la décision querellée. 9. Sur le vu de tout ce qui précède, le recours, mal fondé, doit être rejeté et la décision sur opposition confirmée. Il n’est pas perçu de frais de procédure, en application du principe de la gratuité valant en la matière, ni alloué de dépens.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août 2016/ smt/mbo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