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138 vom 30. Oktober 2014</w:t>
      </w:r>
    </w:p>
    <w:p>
      <w:r>
        <w:t>FR Kantonsgericht, 2014-10-30, FR</w:t>
      </w:r>
    </w:p>
    <w:p>
      <w:r>
        <w:rPr>
          <w:b/>
        </w:rPr>
        <w:t xml:space="preserve">Quelle: </w:t>
      </w:r>
      <w:r>
        <w:t>https://mcp.opencaselaw.ch/entscheid/fr_gerichte_605_2014_138</w:t>
      </w:r>
    </w:p>
    <w:p>
      <w:r>
        <w:t>FR: FR_GERICHTE 605 2014 138 du 30 octobre 2014</w:t>
      </w:r>
    </w:p>
    <w:p>
      <w:r>
        <w:t>IT: FR_GERICHTE 605 2014 138 del 30 ottobre 2014</w:t>
      </w:r>
    </w:p>
    <w:p>
      <w:pPr>
        <w:pStyle w:val="Heading2"/>
      </w:pPr>
      <w:r>
        <w:t>Regeste</w:t>
      </w:r>
    </w:p>
    <w:p>
      <w:r>
        <w:t>Arrêt de la Ie Cour des assurances sociales du Tribunal cantonal | Arbeitslosenversicherung</w:t>
      </w:r>
    </w:p>
    <w:p>
      <w:pPr>
        <w:pStyle w:val="Heading2"/>
      </w:pPr>
      <w:r>
        <w:t>Erwägungen</w:t>
      </w:r>
    </w:p>
    <w:p>
      <w:r>
        <w:rPr>
          <w:b/>
        </w:rPr>
        <w:t>E. 4</w:t>
      </w:r>
    </w:p>
    <w:p>
      <w:r>
        <w:t>a) D'après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2 OACI, la durée de la suspension dans l'exercice du droit à l'indemnité est de: a. 1 à 15 jours en cas de faute légère; b. 16 à 30 jours en cas de faute de gravité moyenne; c. 31 à 60 jours en cas de faute grave. Aux termes de l'art. 45 al. 3 OACI, il y a faute grave lorsque l’assuré abandonne un emploi réputé convenable sans être assuré d’obtenir un nouvel emploi ou lorsqu’il refuse un emploi réputé convenable sans motif valable. Dans ses directives (Circulaire relative à l'indemnité de chômage, janvier 2013, D64 et D72), le Secrétariat d'Etat à l'économie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Constitue une faute moyenne susceptible d'une sanction de 21 à 25 jours une première non- présentation à un programme temporaire (cf. l'échelle des suspensions à l'intention de l'autorité cantonale et des ORP, janvier 2013, in Bulletin LACI IC du SECO, let. D72/C3.1; B. RUBIN op. cit. ch. 116 ad art. 30).</w:t>
      </w:r>
    </w:p>
    <w:p>
      <w:r>
        <w:t>Tribunal cantonal TC Page 6 de 6 b) En l'espèce, l'autorité intimée a considéré que le comportement de l'assuré était constitutif d'une faute moyenne et lui a infligé une suspension de 21 jours timbrés. Au vu de l'ensemble du dossier et singulièrement des éléments rappelés plus haut, la Cour retient que l'autorité intimée n'a ce faisant pas usé de son pouvoir d'appréciation de façon abusive ou excessive; aucun fait ou motif ne justifie de substituer ici une autre évaluation à celle entreprise. L'administration a respecté le barème auquel elle est tenue; la sanction de 21 jours constitue le minimum de la suspension dans l'exercice du droit à l'indemnité qu'elle pouvait infliger.</w:t>
      </w:r>
    </w:p>
    <w:p>
      <w:r>
        <w:rPr>
          <w:b/>
        </w:rPr>
        <w:t>E. 5</w:t>
      </w:r>
    </w:p>
    <w:p>
      <w:r>
        <w:t>Dans ces circonstances, le recours, manifestement mal fondé, doit être rejeté et la décision attaquée confirmée, sans frais de justice, en application du principe de la gratuité de la procédure valant en la matière.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2014/djo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