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41 vom 21. Januar 2015</w:t>
      </w:r>
    </w:p>
    <w:p>
      <w:r>
        <w:t>FR Kantonsgericht, 2015-01-21, FR</w:t>
      </w:r>
    </w:p>
    <w:p>
      <w:r>
        <w:rPr>
          <w:b/>
        </w:rPr>
        <w:t xml:space="preserve">Quelle: </w:t>
      </w:r>
      <w:r>
        <w:t>https://mcp.opencaselaw.ch/entscheid/fr_gerichte_605_2013_41</w:t>
      </w:r>
    </w:p>
    <w:p>
      <w:r>
        <w:t>FR: FR_GERICHTE 605 2013 41 du 21 janvier 2015</w:t>
      </w:r>
    </w:p>
    <w:p>
      <w:r>
        <w:t>IT: FR_GERICHTE 605 2013 41 del 21 gennaio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Conformément à l'art. 8 al. 1 LACI, l'assuré a droit à l’indemnité de chômage s’il est – entre autres conditions – sans emploi ou partiellement sans emploi (let. a), s’il a subi une perte de travail à prendre en considération (let. b) et s’il est apte au placement (let. f). 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b) D'après la jurisprudence constante du Tribunal fédéral,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Tribunal fédéral, arrêts 8C_1016/2012 du 19 août 2013 consid. 4.2, 8C_776/2011 du 14 novembre 2012 consid. 3.2, 8C_481/2010 du 15 février 2011 consid. 3.2 et la référence citée).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d'activité de la société et le réengagement de l'intéressé pouvant alors être exclus (Tribunal fédéral, arrêts précités 8C_1016/2012 consid. 4.3 et 8C_481/2010 consid. 4.2 et les références citées). En d'autres termes, pour qu'une personne occupant une position semblable à celle d'un employeur ait droit à l'indemnité de chômage, son départ de l'entreprise doit revêtir un caractère définitif. La faillite de l'entreprise constitue un critère. Les personnes occupant une position semblable à celle d'un employeur, qui ont officié en tant que liquidateurs une fois la faillite ouverte, n'ont en général pas le droit à l'indemnité de chômage. Cependant, lorsque la faillite est suspendue faute d'actifs, il ne reste la plupart du temps plus rien à liquider. Il n'y a dès lors aucun risque d'abus. C'est pourquoi, à compter de là, le fait d'avoir occupé durablement une position semblable à celle d'un</w:t>
      </w:r>
    </w:p>
    <w:p>
      <w:r>
        <w:t>Tribunal cantonal TC Page 4 de 6 employeur ne constitue plus un motif valable pour refuser à un assuré le droit à l'indemnité de chômage (DTA 2007 p. 115; 2004 p. 193 et 2002 p. 183).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l'une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(Tribunal fédéral, arrêt C 203/06 du 29 août 2007 consid. 4.2 et la référence citée). d) Selon la jurisprudence, la règle spéciale de l'art. 31 al. 1 let. b OAC, laquelle correspond à l'actuel art. 31 al. 3 let. c LACI, ne vise que les conjoints sans tenir compte des autres liens de parenté. Le conjoint d'un chômeur partiel qui, dans l'entreprise d'un tiers (entreprise de la fille), occupe une position dirigeante, ne peut être traité de la même manière que le conjoint qui est propriétaire de l'entreprise (DTA 1980 p. 54 ss). Par contre, dans un arrêt C 272/01 du 27 août 2003, le Tribunal fédéral a estimé que, si un membre de la famille, par exemple un père travaillant dans l'entreprise de son fils, exerce du fait de sa position une influence considérable sur les décisions de l'employeur, dans le cas d'espèce il avait signé plusieurs papiers engageant la société, alors à ce moment-là il ne peut pas prétendre à l'indemnité de chômage. Très récemment encore (Tribunal fédéral, arrêts 8C_642/2013 du 4 juillet 2014 et 8C_536/2013 du 14 mai 2014 consid. 3 et les références citées), les Juges fédéraux ont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 poursuit le Tribunal fédéral -, il y a lieu de garder à l'esprit que l'assurance-chômage n'a pas pour vocation à indemniser la perte ou les fluctuations de gain liées à une activité indépendante mais uniquement la perte de travail, déterminable et contrôlable, du travailleur ayant un simple statut de</w:t>
      </w:r>
    </w:p>
    <w:p>
      <w:r>
        <w:t>Tribunal cantonal TC Page 5 de 6 salarié qui, à la différence de celui occupant une position décisionnelle, n'a pas le pouvoir d'influencer la perte de travail qu'il subit et pour laquelle il demande l'indemnité de chômage.</w:t>
      </w:r>
    </w:p>
    <w:p>
      <w:r>
        <w:rPr>
          <w:b/>
        </w:rPr>
        <w:t>E. 3</w:t>
      </w:r>
    </w:p>
    <w:p>
      <w:r>
        <w:t>En l'espèce, est litigieuse, la question de savoir si l'assurée, licenciée de la société dont son époux est l'unique associé-gérant avec signature individuelle, a droit à l'indemnité de chômage. Il n'est pas contesté qu'elle n'a pas cotisé durant douze mois pour un autre employeur durant son délai cadre de cotisation. La recourante est l'épouse de l'unique associé-gérant d'une Sàrl, laquelle existait encore à la date déterminante de la décision sur opposition. On ne peut donc pas parler d'une circonstance propre à exclure la poursuite du but social de l'entreprise (pour un exemple dans ce sens cf. Tribunal fédéral, arrêt 8C_1016/2012 du 19 août 2013). Ainsi, l'assurée se trouvait toujours, par l'intermédiaire de son mari, en position d'influencer de manière déterminante les décisions de son dernier employeur. Par ailleurs, son époux, en sa qualité d'administrateur unique, a gardé à tout moment la faculté de réengager sa femme dans sa société. Il n'y a certes pas lieu de douter que c'est la baisse du volume des affaires qui a conduit au licenciement de l'assurée. Mais c'est justement en cela que le cas d'espèce présente une analogie avec une réduction en matière d'horaire de travail. Le fait que les affaires aient baissé n'est pas déterminant. En effet, il n'est pas impossible que l'entreprise puisse obtenir dans un avenir proche d'autres mandats qui nécessiteraient une recrudescence de travaux administratifs que son époux pourrait derechef lui confier. Dans un tel contexte, la perte de travail n'est pas aisément vérifiable par la caisse, ce qui justifie de ne pas assimiler la recourante à une personne qui aurait définitivement quitté l'entreprise qui l'employait. La situation de l'assurée entre incontestablement dans un des cas de figure visés par l'art. 31 al. 3 let. c LACI, malgré ses nombreuses explications et dénégations. Ainsi, le lien de parenté entre l'assurée et l'administrateur unique de la société rend un contournement de la loi possible, même s'il demeure hypothétique eu égard à la conjoncture économique. Comme déjà dit, cela suffit à nier le droit au chômage de l'assurée. Dans ces circonstances, la question de la violation du droit d'être entendu peut souffrir de rester indécise, même si, pour autant qu'avérée, elle aurait dû être considérée comme réparée par la production des comptes de la société devant l'Instance de céans, qui dispose d'un plein pouvoir de cognition. Cela étant, la preuve de l'existence d'un abus avéré n'exclut pas le risque d'abus qui est également pris en compte par la loi et la jurisprudence. Dès lors, l'existence ou l'absence d'abus n'était pas déterminante pour statuer sur la présente affaire et la caisse de chômage pouvait donc renoncer à procéder à un examen concret de la situation de la recourante sur la base de tels documents (cf. Tribunal fédéral, arrêt 8C_155/2011 du 25 janvier 2012 consid. 4). Il en va de même de la Cour de céans.</w:t>
      </w:r>
    </w:p>
    <w:p>
      <w:r>
        <w:rPr>
          <w:b/>
        </w:rPr>
        <w:t>E. 4</w:t>
      </w:r>
    </w:p>
    <w:p>
      <w:r>
        <w:t>Sur le vu de ce qui précède, le recours, mal fondé, doit être rejeté et la décision attaquée confirmée, sans frais de procédure, en application du principe de la gratuité valant en la matière.</w:t>
      </w:r>
    </w:p>
    <w:p>
      <w:r>
        <w:t>Tribunal cantonal TC Page 6 de 6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