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247 vom 29. September 2015</w:t>
      </w:r>
    </w:p>
    <w:p>
      <w:r>
        <w:t>FR Kantonsgericht, 2015-09-29, FR</w:t>
      </w:r>
    </w:p>
    <w:p>
      <w:r>
        <w:rPr>
          <w:b/>
        </w:rPr>
        <w:t xml:space="preserve">Quelle: </w:t>
      </w:r>
      <w:r>
        <w:t>https://mcp.opencaselaw.ch/entscheid/fr_gerichte_605_2013_247</w:t>
      </w:r>
    </w:p>
    <w:p>
      <w:r>
        <w:t>FR: FR_GERICHTE 605 2013 247 du 29 septembre 2015</w:t>
      </w:r>
    </w:p>
    <w:p>
      <w:r>
        <w:t>IT: FR_GERICHTE 605 2013 247 del 29 settembre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Selon l’art. 6 al. 1 de la loi du 20 mars 1981 sur l’assurance-accidents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b) Selon l’art. 18 al. 1 LAA, si l’assuré est invalide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Conformément à l’art. 8 al. 1 LPGA, est réputée invalidité l’incapacité de gain totale ou partielle qui est présumée permanente ou de longue durée. L’art. 7 al. 1 LPGA dispose, pour sa part, qu’est réputée incapacité de gain toute diminution de l'ensemble ou d'une partie des possibilités de gain de l'assuré sur un marché du travail équilibré dans son domaine d'activité, si cette diminution</w:t>
      </w:r>
    </w:p>
    <w:p>
      <w:r>
        <w:t>Tribunal cantonal TC Page 4 de 10 résulte d'une atteinte à sa santé physique, mentale ou psychique et qu'elle persiste après les traitements et les mesures de réadaptation exigibles. L’alinéa 2 de cette disposition précise que seules les conséquences de l'atteinte à la santé sont prises en compte pour juger de la présence d'une incapacité de gain. De plus, il n'y a incapacité de gain que si celle-ci n'est pas objectivement surmontable.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Il convient en effet d'évaluer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126 V 75 consid. 3b/aa). Pour déterminer ce revenu, la CNA recourt à une enquête menée par elle auprès de diverses entreprises suisses et qui permet de réunir des données salariales pour de nombreux postes de travail faisant l'objet d'une description détaillée, dite DPT ou "descriptions de postes de travail" (ATF 139 V 592 consid. 2.3; 129 V 472 consid. 4.2.1). La détermination du revenu d'invalide sur la base de ces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CNA n'est pas en mesure de satisfaire à ces exigences de procédure, on ne peut pas se référer aux DPT. Lorsque le revenu d'invalide est déterminé sur la base des DPT, une réduction du salaire, eu égard au système même des DPT, n'est ni justifié, ni admissible (ATF 139 V 592 consid. 6.3 ; 129 V 472 consid. 4.2.2). Si les DPT satisfont aux conditions formelles précitées, la CNA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Lorsqu'un assuré n'exerce plus d'activité lucrative, une stricte comparaison des revenus est impossible. Dans ce cas, le degré d'invalidité doit être déterminé à partir des données médicales et selon la méthode générale de comparaison des revenus, par simple mise en parallèle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w:t>
      </w:r>
    </w:p>
    <w:p>
      <w:r>
        <w:t>Tribunal cantonal TC Page 5 de 10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Ensuite, il y a lieu d'évaluer le gain que ce dernier pourrait encore réaliser en exerçant une telle activité (revenu d'invalide). Ce revenu doit être comparé avec celui qu'il aurait pu réaliser sans handicap (revenu sans invalidité). Le degré d'invalidité résulte de cette comparaison.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 119 V 337 consid. 1 ; 118 V 289 consid. 1b et les références). Selon la jurisprudence, le seul fait que des symptômes douloureux ne se sont manifestés qu'après la survenance d'un accident ne suffit pas à établir un rapport de causalité avec cet accident (raisonnement "post hoc, ergo propter hoc"; cf. ATF 119 V 335 consid. 2b/bb, RAMA 1999 n° U 341 p. 408 consid. 3b). Il convient en principe d'en rechercher l'étiologie et de vérifier, sur cette base, l'existence du rapport de causalité avec l'évènement assuré. De plus, si le rapport de causalité avec l'accident est établi avec la vraisemblance requise, l'assureur n'est délié de son obligation d'octroyer des prestations que si l'accident ne constitue plus la cause naturelle et adéquate de l'atteinte à la santé, c'est-à-dire si ce dernier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On rappellera en outre que, dans le contexte de la suppression du droit à des prestations, la règle selon laquelle le fardeau de la preuve appartient à la partie qui invoque la suppression du droit (RAMA 2000 n° U 363 p. 46 consid. 2, et la référence citée) entre seulement en considération s'il n'est pas possible, dans les limites du principe inquisitoire, d'établir sur la base d'une appréciation des preuves un état de fait qui au degré de vraisemblance prépondérante corresponde à la réalité (ATF 139 V 176 consid. 5.2; 117 V 261 consid. 3b). La preuve de la disparition du lien de causalité naturelle ne doit pas être apportée par la preuve de facteurs étrangers à l'accident. Il est encore moins question d'exiger de l'assureur-accidents la preuve négative qu'aucune atteinte à la santé</w:t>
      </w:r>
    </w:p>
    <w:p>
      <w:r>
        <w:t>Tribunal cantonal TC Page 6 de 10 ne subsiste plus ou que la personne assurée est dorénavant en parfaite santé (arrêt TF 8C_463/2009 du 23 novembre 2009 consid. 3). d) Le droit à des prestations de l'assurance-accidents suppose en outre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 Le juge apprécie librement les preuves. S’agissant des rapports d’expertise,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(arrêt TF I 236/01 du 5 octobre 2001 consid. 1 et les références).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consid. 4; arrêts TF 8C_149/2010 du 30 novembre 2010 consid. 5, 8C_85/2010 du 30 septembre 2010 consid. 6.1, et la référence citée). La nécessité de mettre en œuvre une nouvelle expertise dépend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(ATF 133 V 450 consid. 11.1.3 ; 125 V 351, consid. 3a; arrêts TF 8C_85/2010 du 13 septembre 2010 consid. 6.1, 9C_168/2007 du 8 janvier 2008 consid. 4.2; RAMA 1996 no U 256, p. 215 consid. 4 et les références). Enfin, selon la jurisprudence récente du Tribunal fédéral,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w:t>
      </w:r>
    </w:p>
    <w:p>
      <w:r>
        <w:t>Tribunal cantonal TC Page 7 de 10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f) S’agissant d’une demande de reconsidération d’une décision passée en force, l’art. 53 al. 1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Quant à l’al. 2 de cette disposition, il prévoit que l'assureur peut revenir sur les décisions ou les décisions sur opposition formellement passées en force lorsqu'elles sont manifestement erronées et que leur rectification revêt une importance notable (reconsidération). Selon la jurisprudence du Tribunal fédéral, l’assureur ne saurait être contraint de revoir une décision passée en force. En effet, de jurisprudence constante, ni l'assuré ni le juge ne peuvent contraindre l'administration à reconsidérer, au sens de l'art. 53 al. 2 LPGA, une décision sur opposition formellement passée en force (arrêt TF 8C_21/2014 du 6 novembre 2014 ; 135 V 215 et les références ; 119 V 475 consid. 1b/cc; 117 V 8 consid. 2a et les références ; 115 V 186 consid. 2c et les références). Pour que l'administration (ou l'assureur) puisse reconsidérer une décision formellement passée en force de chose jugée et sur laquelle une autorité judiciaire ne s'est pas prononcée quant au fond, il faut, conformément à un principe général du droit des assurances sociales, qu'elle soit sans nul doute erronée et que sa rectification revête une importance notable, ou,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Pour juger s'il est admissible de reconsidérer une décision, au motif qu'elle est sans nul doute erronée, il faut se fonder sur la situation juridique existant au moment où cette décision a été rendue, compte tenu de la pratique en vigueur à l'époque (ATF 140 V 77 consid. 3.1; 117 V 8 consid. 2c et les arrêts cités; voir aussi ATF 115 V 314 consid. 4a cc et dd). Toujours selon la jurisprudence,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116 V 62).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TF 9C_861/2012 du 6 février 2013, consid. 5.1.1). En d’autres termes, le Tribunal fédéral est restrictif quant à la reconsidération d’une décision, en la limitant aux cas d’une erreur crasse ou évidente, afin de garantir la sécurité du droit et d’éviter que</w:t>
      </w:r>
    </w:p>
    <w:p>
      <w:r>
        <w:t>Tribunal cantonal TC Page 8 de 10 le justiciable – ou éventuellement l’administration – puissent, à tout moment, faire valoir des motifs pour revoir les décisions passées en force. Enfin, dans ce registre, il sied de ne pas confondre révision et reconsidération d’une décision, la révision pouvant avoir lieu en tout temps, lorsque les conditions d’octroi d’une prestation se trouvent modifiées, par exemple lors d’une amélioration ou d’une péjoration de l’état de santé de l’assuré.</w:t>
      </w:r>
    </w:p>
    <w:p>
      <w:r>
        <w:rPr>
          <w:b/>
        </w:rPr>
        <w:t>E. 3</w:t>
      </w:r>
    </w:p>
    <w:p>
      <w:r>
        <w:t>a) Le litige porte tout d’abord sur le refus de la CNA d’entrer en matière sur la demande de reconsidération, plus spécifiquement sur le fait que la CNA n’aurait pas pris à l’époque en considération l’ensemble des rapports médicaux pour déterminer l’état de santé du recourant et que, dans ce contexte, une nouvelle expertise s’imposerait. Il y a lieu d’écarter d’emblée la présence de faits nouveaux susceptibles de mettre en cause la décision du 10 février 2010, au sens de l’art. 53 al. 1 LPGA (révision procédurale), dans la mesure où aucun élément inconnu au moment de rendre la décision n’est apparu postérieurement à celle- ci ; la mauvaise interprétation, voire l’omission de prise en considération de rapports médicaux existants à ce moment-là ne peut être qualifiée de faits nouveaux au sens de la jurisprudence ci- dessus rappelée ; du reste ni le recourant ni l’intimé ne les invoquent. Pour ce qui est de la reconsidération au sens de l’art. 53 al. 2 LPGA, la Cour constate que la CNA a refusé d’entrer en matière sur cette demande, au motif que, selon elle, l’état de santé de l’assuré et les divers rapports médicaux ont correctement été pris en compte. La décision du 10 février 2010 n’a pas été contestée et est passée en force ; partant, elle a acquis le statut de chose jugée. Cela étant, en application de la jurisprudence constante du Tribunal fédéral, il appartient à l’administration, en l’occurrence à la CNA, d’apprécier librement si, à l’aune des éléments soulevés par le recourant postérieurement à son rendu, il se justifiait de revoir sa décision initiale passée en force. La CNA ayant refusé d’entrer en matière sur cette demande, la Cour ne peut que prendre acte de ce refus et ne saurait d’aucune manière contraindre la CNA à statuer à nouveau sur le fond. Sur ce point, le recours doit être déclaré irrecevable. b) Il reste cependant à examiner si la décision litigieuse du 18 octobre 2013 est conforme au droit dans la prise en considération des 5 DPT servant à déterminer le salaire que le recourant pourrait encore réaliser en raison de son handicap, étant entendu que la capacité de travail et le revenu sans invalidité ne sont pas contestés en l’état. La CNA s’est fondée sur les DPT dans le domaine de la vente par correspondance, le nettoyage, le contrôle de qualité, l’aide-magasinier avec télécommande et la surveillance de ligne de fabrication – emballage de chocolats. Selon elle, ces DPT choisies correspondent à des activités compatibles aux limitations fonctionnelles constatées par son médecin d’arrondissement. Selon le recourant, tel n’est pas le cas. Pour le poste de vente par correspondance, le recourant prétend être handicapé par sa connaissance médiocre du français et par son absence totale de connaissances d’une autre langue nationale, ce qui rend ce poste inapte pour lui. En l’état, le poste en question requiert une connaissance de la langue française et, s’il est vrai que l’une ou l’autre langue nationale en sus du français serait un atout complémentaire, il ne s’agit pas d’une condition sine qua non à l’engagement. Le recourant n’a manifestement pas eu de peine à comprendre et s’exprimer en français au cours des divers examens et expertises médicaux, ainsi que le relève la CNA et que cela ressort des « constatations objectives » du Dr D.________, expert-rhumatologue FMH dans son expertise du 3 juin 2010, page 7 « il comprend et parle parfaitement le français », de sorte qu’on peut admettre que, pour un tel travail, ces connaissances</w:t>
      </w:r>
    </w:p>
    <w:p>
      <w:r>
        <w:t>Tribunal cantonal TC Page 9 de 10 devraient suffire. En effet, même si le poste implique un certain contact avec la clientèle, il n’est pas précisé qu’une maîtrise parfaite du français est exigée. En outre, l’on ne saurait retenir d’emblée la spéculation sur un possible non-engagement sur cette seule base. S’agissant du nettoyage, le recourant estime que ce poste exige la force du poignet alors que la mobilité de celui-ci est très restreinte, selon les avis médicaux versés au dossier. La CNA n’a pas pris position à ce sujet, mais la Cour constate que ce travail consiste essentiellement à s’occuper du ravitaillement des menus de la cuisine au comptoir, du remplissage des assiettes, du nettoyage du restaurant ainsi que des activités de lingerie. Si ces dernières nécessitent une certaine maniabilité des poignets qui pourrait ne pas être adaptée au handicap de recourant, le poste étant scindé en deux fonctions distinctes, il y a lieu d’admettre que l’activité dans la restauration est tout à fait possible. Pour ce qui est du contrôle de qualité, le recourant fait valoir que ses troubles dorsaux l’empêcheraient de se baisser en raison de sa hernie traitée et guérie depuis. Cependant, il n’indique pas, attestation médicale à l’appui, en quoi cet exercice serait contre-indiqué puisque la hernie a été opérée et semble guérie, à ses propres dires. Ce grief doit donc être rejeté. Pour l’activité d’aide-magasinier avec télécommande, le recourant affirme être dans l’incapacité de tenir le boîtier de la main droite et n’est pas certain que ce dernier soit ambidextre ou adapté à la main gauche. La Cour estime cette critique non pertinente, considérant qu’il y a des ouvriers aussi bien droitiers que gauchers. Cet argument ne saurait donc être retenu. Enfin, pour le poste de surveillance de ligne de fabrication et d’emballage de chocolats, c’est le maniement fréquent d’objets avec vibrations et à-coups dans la main et le poignet qui le rendraient inadapté au handicap du recourant. Or, la description de ce travail fait certes apparaître de nombreux déplacements mais il s’agit d’une activité de mise en place, surveillance, réglage avec un poids maximal à soulever de 3kg ; ces activités ne sont manifestement pas incompatibles avec le handicap du recourant, ainsi que cela ressort de l’analyse médicale du médecin d’arrondissement (voir examen médical final du médecin d’arrondissement de la CNA du 25 juin 2013, pages 4 et 5). Le recourant n’a ainsi pas démontré en quoi les DPT retenues seraient incompatibles avec son atteinte à la santé. Par surabondance, la CNA a examiné la perte de gain à la lumière de l’ESS et a pris en considération, pour fixer le revenu d’invalide, le salaire statistique pour des hommes effectuant des activités simples et répétitives du secteur privé (table TA1, cat. 4 ESS 2010). Elle a retenu un salaire annuel de CHF 62'856.96, basé sur une durée de travail de 41.7 heures/semaine, avec renchérissement calculé pour les années 2011, 2012 et 2013. Elle a encore déduit 15% d’abattement pour tenir compte des limitations liées au handicap (parce que l’assuré ne peut exercer des activités que légèrement ou moyennement pénibles), pour atteindre un revenu annuel d’invalide de CHF 53'428.42. Comparé au revenu de valide (CHF 65'065.-) non contesté, elle obtient un taux d’invalidité de 17.88% qui peut être arrondi à 18% et qui correspond à celui retenu dans la décision attaquée. Ainsi qu’on peut le constater, le revenu perdu suite à l’invalidité est le même, qu’il soit fondé sur les DPT ou sur l’ESS. Mal fondé, le grief doit donc être rejeté.</w:t>
      </w:r>
    </w:p>
    <w:p>
      <w:r>
        <w:rPr>
          <w:b/>
        </w:rPr>
        <w:t>E. 4</w:t>
      </w:r>
    </w:p>
    <w:p>
      <w:r>
        <w:t>Sur le vu de tout ce qui précède, le recours est ainsi déclaré irrecevable pour ce qui est de la reconsidération ; il doit être rejeté pour le surplus et la décision sur opposition attaquée du 18 octobre 2013 confirmée, sans frais de justice, en application du principe de la gratuité de la procédure. Il n’est pas alloué de dépens.</w:t>
      </w:r>
    </w:p>
    <w:p>
      <w:r>
        <w:t>Tribunal cantonal TC Page 10 de 10 la Cour arrête: I. Le recours est déclaré irrecevable pour ce qui est de la demande de reconsidération ; il est rejeté pour le surplus et la décision sur opposition du 18 octobre 2013 confirmée.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