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175 vom 12. Januar 2015</w:t>
      </w:r>
    </w:p>
    <w:p>
      <w:r>
        <w:t>FR Kantonsgericht, 2015-01-12, DE</w:t>
      </w:r>
    </w:p>
    <w:p>
      <w:r>
        <w:rPr>
          <w:b/>
        </w:rPr>
        <w:t xml:space="preserve">Quelle: </w:t>
      </w:r>
      <w:r>
        <w:t>https://mcp.opencaselaw.ch/entscheid/fr_gerichte_605_2013_175</w:t>
      </w:r>
    </w:p>
    <w:p>
      <w:r>
        <w:t>FR: FR_GERICHTE 605 2013 175 du 12 janvier 2015</w:t>
      </w:r>
    </w:p>
    <w:p>
      <w:r>
        <w:t>IT: FR_GERICHTE 605 2013 175 del 12 gennaio 2015</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ist form- und fristgerecht bei der zuständigen Beschwerdeinstanz einge- reicht worden. Die Beschwerdeführerin ist zur Einreichung der Beschwerde befugt, da sie vom an- gefochtenen Einspracheentscheid unmittelbar berührt ist und ein schutzwürdiges Interesse hat, dass das Kantonsgericht, I. Sozialversicherungsgerichtshof, prüft, ob das AMA zu Recht den Er- lass der Rückforderung abgelehnt hat.</w:t>
      </w:r>
    </w:p>
    <w:p>
      <w:r>
        <w:t>Kantonsgericht KG Seite 3 von 6 Auf die Beschwerde ist einzutreten.</w:t>
      </w:r>
    </w:p>
    <w:p>
      <w:r>
        <w:rPr>
          <w:b/>
        </w:rPr>
        <w:t>E. 2</w:t>
      </w:r>
    </w:p>
    <w:p>
      <w:r>
        <w:t>a) Gemäss Art. 42 des Bundesgesetzes vom 25. Juni 1982 über die obligatorische Arbeits- losenversicherung und Insolvenzentschädigung (AVIG, SR 837.0) haben Arbeitnehmer in Erwerbs- zweigen, in denen wetterbedingte Arbeitsausfälle üblich sind, Anspruch auf Schlechtwetterent- schädigung, wenn sie für die Versicherung beitragspflichtig sind oder das Mindestalter für die Bei- tragspflicht in der AHV noch nicht erreicht haben und sie einen anrechenbaren Arbeitsausfall (Art. 43) erleiden (Abs. 1). Keinen Anspruch auf Schlechtwetterentschädigung haben Personen nach Art. 31 Abs. 3 (Abs. 3). Diese Bestimmung sieht in lit. a vor, dass jene Arbeitnehmer, deren Arbeitsausfall nicht bestimmbar oder deren Arbeitszeit nicht ausreichend kontrollierbar ist, keinen Anspruch auf die Entschädigung haben. Diesbezüglich sieht Art. 46b der Verordnung vom 31. August 1983 über die obligatorische Arbeitslosenversicherung und die Insolvenzentschädigung (AVIV; SR 837.02) vor, dass die genügende Kontrollierbarkeit des Arbeitsausfalles eine betrieb- liche Arbeitszeitkontrolle voraussetzt (Abs. 1) und der Arbeitgeber die Unterlagen über die Arbeits- zeitkontrolle während fünf Jahren aufzubewahren hat (Abs. 2). Damit soll die Überprüfbarkeit des Arbeitsausfalles für die Durchführungsorgane der Arbeitslosenversicherung sichergestellt werden, wofür die Beweislast dem Arbeitgeber obliegt. Die Ausgleichsstelle der Arbeitslosenversicherung, welche im SECO geführt wird (Art. 83 Abs. 3 AVIG), überprüft unter anderem die Auszahlungen der Kassen und überwacht die Entscheide der kantonalen Amtsstellen (Art. 83 Abs. 1 lit. d und l AVIG). Sie und die von ihr beauftragten Treu- handstellen prüfen insbesondere stichprobenweise bei den Arbeitgebern die ausbezahlten Schlechtwetterentschädigungen (Art. 83a Abs. 1 AVIG und Art. 110 Abs. 4 AVIV); allfällige Rück- forderungen im Anschluss an Arbeitgeberkontrollen werden durch die Ausgleichsstelle verfügt, während das Inkasso der Arbeitslosenkasse obliegt (Art. 83a Abs. 3 AVIG in Verbindung mit Art. 111 Abs. 2 AVIV). Die Revision der Auszahlungen stellt ein systematisch durchgeführtes und methodisch auf die Erfassung einer Vielzahl von Fällen ausgerichtetes Wiedererwägungsverfahren (mit den dabei geltenden Grundsätzen [zweifellose Unrichtigkeit der formell rechtskräftigen Leis- tungsverfügung, Berichtigung von erheblicher Bedeutung]; vgl. Art. 53 Abs. 2 des Bundesgesetzes vom 6. Oktober 2000 über den Allgemeinen Teil des Sozialversicherungsrechts [ATSG; SR 830.1], welches hier aufgrund von Art. 1 Abs. 1 AVIG zur Anwendung kommt) dar, wobei nicht die Verwal- tungsstelle, welche die Leistungsverfügungen erlassen hat, auf die Angelegenheit zurückkommt, sondern die dafür vom Gesetz vorgesehene höchste verantwortliche Instanz in Form der Aus- gleichsstelle (Urteil des Bundesgericht [nachfolgend: BGer] 8C_469/2011 vom 29. Dezember 2011 Erw. 5 mit zahlreichen Hinweisen). Die Prüfung der betrieblichen Arbeitszeitkontrolle ist nicht Sache der kantonalen Amtsstelle oder der Kasse. Die Auszahlungen von Schlechtwetterentschädigungen werden ausschliesslich durch das SECO/TCIN gemäss Art. 110 AVIV stichprobenweise geprüft (Kreisschreiben des SECO über die Schlechtwetterentschädigung, Januar 2005, Rz. 30 mit Hinweis auf die Urteile des ehemaligen Eidgenössischen Versicherungsgerichts C 208/02 vom 27. Oktober 2003 und C 295/02 vom 12. Juli 2003). b) Die Rückforderung von Leistungen richtet sich mit Ausnahme der Fälle von Art. 55 und Art. 59cbis Abs. 4 nach Art. 25 ATSG (Art. 95 Abs. 1 AVIG, in seiner Fassung seit 1. April 2011). Gemäss Art. 25 ATSG sind unrechtmässig bezogene Leistungen zurückzuerstatten. Wer Leis- tungen in gutem Glauben empfangen hat, muss sie nicht zurückerstatten, wenn eine grosse Härte vorliegt (Abs. 1). Art. 4 Abs. 1 der Verordnung vom 11. September 2002 über den Allgemeinen Teil des Sozialversicherungsrechts (ATSV; SR 830.11) präzisiert dies dahingehend, dass die Rücker- stattung unrechtmässig gewährter Leistungen, die in gutem Glauben empfangen wurden, bei Vor-</w:t>
      </w:r>
    </w:p>
    <w:p>
      <w:r>
        <w:t>Kantonsgericht KG Seite 4 von 6 liegen einer grossen Härte ganz oder teilweise erlassen wird. Massgebend für die Beurteilung, ob eine grosse Härte vorliegt, ist der Zeitpunkt, in welchem über die Rückforderung rechtskräftig ent- schieden ist (Art. 4 Abs. 2 ATSV; zur Prüfung der grossen Härte, vgl. Art. 5 ATSV). Die beiden Vor- aussetzungen des guten Glaubens und der grossen Härte müssen kumulativ erfüllt sein (Kreis- schreiben des SECO über Rückforderung, Verrechnung, Erlass und Inkasso, April 2008, Rz. C1).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 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 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 blendet werden darf (BGE 138 V 218 Erw. 4 mit Hinweisen). Praxisgemäss ist zu unterscheiden zwischen dem guten Glauben als fehlendem Unrechtsbewusst- sein und der Frage, ob sich jemand unter den gegebenen Umständen auf den guten Glauben be- rufen kann oder ob er bei zumutbarer Aufmerksamkeit den bestehenden Rechtsmangel hätte er- kennen sollen. Die Frage nach dem Unrechtsbewusstsein gehört zum inneren Tatbestand und ist daher Tatfrage. Demgegenüber gilt die Frage nach der gebotenen Aufmerksamkeit als Rechts- frage, soweit es darum geht, festzustellen, ob sich jemand angesichts der jeweiligen tatsächlichen Verhältnisse auf den guten Glauben berufen kann (BGE 122 V 221 Erw. 3 mit Hinweisen).</w:t>
      </w:r>
    </w:p>
    <w:p>
      <w:r>
        <w:rPr>
          <w:b/>
        </w:rPr>
        <w:t>E. 3</w:t>
      </w:r>
    </w:p>
    <w:p>
      <w:r>
        <w:t>Vorliegend ist streitig, ob die Voraussetzung des guten Glaubens für den Erlass der Rück- forderung gegeben ist oder nicht. a) Die Beschwerdeführerin bringt vor, sie habe in guten Treuen geglaubt, alle formellen Vor- aussetzungen erfüllt zu haben. Sie habe sich bei der Amtsstelle erkundigt, welche Unterlagen not- wendig seien und sich nach deren Einreichung beim Amt versichert, dass alles in Ordnung sei. Sie sei nie auf die Erforderlichkeit einer täglichen Arbeitszeiterfassung aufmerksam gemacht worden. Das AMA verkenne den Begriff des guten Glaubens, in dem die Voraussetzungen für die Rückfor- derung mit jenem für den Erlass gleichgestellt würden. Auch genüge es nicht darauf zu verweisen, die Kontrolle erfolge nicht durch das AMA, sondern das SECO. Insgesamt stelle das AMA über- höhte Anforderungen an den guten Glauben. Es dürfe einzig keine grobe Nachlässigkeit vorliegen, was vorliegend nicht der Fall sei. Sie könne sich auf die Zusicherungen des AMA abstützen, wes- halb sie sich auf den Schutz des guten Glaubens berufen könne. Das AMA seinerseits ist der Ansicht, die genügende Kontrollierbarkeit des Arbeitsausfalls bzw. der tatsächlich geleisteten Arbeitszeiten setze eine betriebliche Arbeitszeitkontrolle für alle Arbeitneh- menden voraus, was sich bereits aus dem Info-Service Schlechtwetterentschädigung [= Informa- tion für Arbeitgeber Schlechtwetterentschädigung] ergebe. Die Prüfung der betrieblichen Arbeits- zeitkontrolle sei nicht Sache der kantonalen Amtsstelle oder der Arbeitslosenkasse, sondern des SECO. Auch die vorbehaltlose Auszahlung der Schlechtwetterentschädigung während längerer Zeit löse keinen Vertrauensschutz aus. Die Beschwerdeführerin könne sich bei fehlender Kontrol- lierbarkeit des Arbeitsausfalls mangels einer geeigneten betrieblichen Arbeitszeitkontrolle nicht auf den Schutz des guten Glaubens berufen. b) Wie oben dargestellt, ist zwischen dem guten Glauben als fehlendem Unrechtsbewusst- sein und der Frage, ob sich jemand unter den gegebenen Umständen auf den guten Glauben be-</w:t>
      </w:r>
    </w:p>
    <w:p>
      <w:r>
        <w:t>Kantonsgericht KG Seite 5 von 6 rufen kann oder ob er bei zumutbarer Aufmerksamkeit den bestehenden Rechtsmangel hätte er- kennen sollen, zu unterscheiden. Vorliegend ist zusammen mit dem AMA davon auszugehen, dass die Beschwerdeführerin bei der ihr zumutbaren Aufmerksamkeit den Rechtsmangel der ungenügenden Arbeitszeitkontrolle hätte erkennen müssen. So haben gemäss Ziff. 2 "Anspruchsvoraussetzungen" des Formulars "Antrag auf Schlechtwetterentschädigung" Arbeitnehmer, deren Arbeitsausfall nicht bestimmbar oder deren Arbeitszeit nicht ausreichend kontrollierbar ist, keinen Anspruch auf Schlechtwetterentschädigung, was der gesetzlichen Regelung von Art. 42 Abs. 3 AVIG in Verbindung mit Art. 31 Abs. 3 lit. a AVIG entspricht. Weiter verweist das Formular "Meldung über wetterbedingten Arbeitsausfall" auf der Rückseite auf das "Merkblatt für die Arbeitgeber über die Schlechtwetterentschädigung" [= In- formation für Arbeitgeber Schlechtwetterentschädigung]. Gemäss dessen Version von 2007, Ziff. 7, haben Arbeitnehmer, deren Arbeitsausfall nicht bestimmbar oder deren Arbeitszeit nicht ausreichend kontrollierbar ist, keinen Anspruch auf Schlechtwetterentschädigung. Zusätzlich wird explizit erklärt, die Erfüllung der vorgenannten gesetzlichen Bestimmung setze eine betriebliche Arbeitszeitkontrolle (z. B. Stempelkarten, Stundenrapporte) voraus. In der Merkblatt-Ausgabe von 2009 wurde eine neue Ziffer 8 (Welchen Anforderungen muss die betriebliche Arbeitszeitkontrolle erfüllen?) eingefügt, welche lautet: "Für von wetterbedingten Ausfallstunden betroffene Arbeitneh- mende muss eine betriebliche Arbeitszeitkontrolle (z. B. Stempelkarten, Stundenrapporte) geführt werden, welche täglich über die geleisteten Arbeitsstunden inkl. allfälliger Mehrstunden, die wetter- bedingten Ausfallstunden sowie über sämtliche übrigen Absenzen wie z. B. Ferien-, Krankheits-, Unfall- oder Militärdienstabwesenheiten Auskunft gibt." Damit hat die Beschwerdeführerin, welche unbestritten nie eine tägliche Arbeitszeitkontrolle, sondern nur Lohnjournale geführt hat, offensicht- lich die Anforderungen an eine betriebliche Arbeitszeitkontrolle nicht erfüllt. Aufgrund der diesbe- züglichen Hinweise auf den Formularen und im Merkblatt, musste sie sich dessen bewusst sein. c) Daran ändern die von der Beschwerdeführerin geltend gemachten Anfragen beim AMA nichts. Obwohl diese weder von ihr belegt werden, noch sich aus den Akten ergeben, werden sie vom AMA nicht bestritten. Es weist aber zu Recht darauf hin, für die Prüfung der Arbeitszeitkontrol- le sei das SECO zuständig. Zudem kommt dem Vertrauensschutz hinsichtlich des Entstehens der Rückforderungsschuld Bedeutung zu, indem es geboten sein kann, bei Vorliegen bestimmter Sachverhalte auf eine Rückforderung zu verzichten. Demgegenüber ist bei der erst in einem zweiten Schritt zu prüfenden – und einzig hier noch streitigen – Erlassfrage der gute Glaube beim Leistungsempfänger massgebend. Die Berufung der Beschwerdeführerin auf eine falsche Infor- mation bzw. fehlende Information durch das AMA und damit auf den Vertrauensschutz gemäss Art. 27 ATSG kann nicht gehört werden. Wie soeben dargestellt, hätte sie bei Anwendung eines Mindestmasses an Aufmerksamkeit bereits anhand der Hinweise in der Informationsbroschüre und in den Antragsformularen erkennen können und müssen, dass die von ihr geführten Lohnjournale für eine zuverlässige Arbeitszeitkontrolle nicht genügen können, weshalb sie dem unter den gege- benen Umständen gebotenen Mindestmass an Sorgfalt nicht nachgekommen ist, was nicht mehr als leichte Nachlässigkeit gesehen werden kann, weshalb es an der Erlassvoraussetzung des guten Glaubens fehlt (in diesem Sinne Urteil des BGer 8C_312/2012 vom 19. Juni 2012 Erw. 3.2 in einem ähnlichen Fall wie den vorliegenden). Auch zu keiner anderen Einschätzung führt der Hinweis der Beschwerdeführerin auf das Urteil des BGer 8C_375/2007 vom 28. September 2007. Zwar hat das Bundesgericht darin festgehalten, es wäre im Interessen aller Beteiligten wünschbar, wenn die Informationsblätter und die Formulare bezüglich der Anforderungen an die betriebliche Arbeitszeitkontrolle noch deutlicher abgefasst würden, als dies der Fall sei, um aber anschliessend festzuhalten, die Versicherte könne daraus nichts zu ihren Gunsten ableiten. Sicherlich besteht, im Gegensatz zur Ansicht der Beschwerde-</w:t>
      </w:r>
    </w:p>
    <w:p>
      <w:r>
        <w:t>Kantonsgericht KG Seite 6 von 6 führerin, keine besondere Aufklärungspflicht der Behörden bezüglich der Arbeitszeitkontrolle ana- log der Rechtsprechung bezüglich allgemeiner Geschäftsbedingungen. d) Da damit eine der beiden kumulativen Voraussetzungen für den Erlass nicht erfüllt ist, braucht die Voraussetzung der grossen Härte nicht geprüft zu werden.</w:t>
      </w:r>
    </w:p>
    <w:p>
      <w:r>
        <w:rPr>
          <w:b/>
        </w:rPr>
        <w:t>E. 4</w:t>
      </w:r>
    </w:p>
    <w:p>
      <w:r>
        <w:t>Zusammenfassend hat das AMA zu Recht den Erlass der Rückforderung der Schlechtwetter- entschädigung im Betrag von 118'575.65 Franken mangels Gutgläubigkeit abgelehnt. Der Ein- spracheentscheid vom 12. August 2013 ist zu bestätigen und die Beschwerde abzuweisen. Gemäss dem hier zur Anwendung kommenden Prinzip der Kostenlosigkeit des Verfahrens werden keine Gerichtskosten erhoben. Da die Beschwerdeführerin mit ihren Anträgen unterliegt, besteht kein Anspruch auf Parteient- schädigung. Der Hof erkennt: I. Die Beschwerde der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12. Januar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