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471 vom 24. Februar 2015</w:t>
      </w:r>
    </w:p>
    <w:p>
      <w:r>
        <w:t>FR Kantonsgericht, 2015-02-24, DE</w:t>
      </w:r>
    </w:p>
    <w:p>
      <w:r>
        <w:rPr>
          <w:b/>
        </w:rPr>
        <w:t xml:space="preserve">Quelle: </w:t>
      </w:r>
      <w:r>
        <w:t>https://mcp.opencaselaw.ch/entscheid/fr_gerichte_605_2012_471</w:t>
      </w:r>
    </w:p>
    <w:p>
      <w:r>
        <w:t>FR: FR_GERICHTE 605 2012 471 du 24 février 2015</w:t>
      </w:r>
    </w:p>
    <w:p>
      <w:r>
        <w:t>IT: FR_GERICHTE 605 2012 471 del 24 febbraio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12. Dezember 2012 gegen die Verfügung der IV-Stelle vom 7. Novem- ber 2012 ist durch einen ordentlich bevollmächtigten Rechtsvertreter fristgerecht bei der sachlich und örtlich zuständigen Beschwerdeinstanz eingereicht worden. Der Beschwerdeführer hat ein schutzwürdiges Interesse, dass das Kantonsgericht, I. Sozialversicherungsgerichtshof, prüft, ob er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Gemäss Art. 28 IVG in seiner Fassung seit dem 1. Januar 2008, haben Anspruch auf eine Rente Versicherte, die: a. ihre Erwerbsfähigkeit oder die Fähigkeit, sich im Aufgabenbereich zu betätigen, nicht durch zumutbare Eingliederungsmassnahmen wieder herstellen, erhalten oder verbessern</w:t>
      </w:r>
    </w:p>
    <w:p>
      <w:r>
        <w:t>Kantonsgericht KG Seite 4 von 11 können; b. während eines Jahres ohne wesentlichen Unterbruch durchschnittlich mindestens 40 Prozent arbeitsunfähig (Art. 6 ATSG) gewesen sind; und c. nach Ablauf dieses Jahres zu mindes- tens 40 Prozent invalid (Art. 8 ATSG) sind (Abs. 1). Sind diese Voraussetzungen erfüllt, haben sie Anspruch auf eine ganze Rente, wenn sie mindestens zu 70 Prozent, auf eine Dreiviertelsrente, wenn sie mindestens zu 60 Prozent, auf eine halbe Rente, wenn sie mindestens zu 50 Prozent, oder auf eine Viertelsrente, wenn sie mindestens zu 40 Prozent invalid sind (Abs. 2). Entsprechend der Regelung von Art. 29 IVG, ebenfalls in seiner Version ab dem 1. Januar 2008, entsteht der Rentenanspruch frühestens nach Ablauf von sechs Monaten nach Geltendmachung des Leistungsanspruchs nach Art. 29 Abs. 1 ATSG, jedoch frühestens im Monat, der auf die Voll- endung des 18. Altersjahres folgt (Abs. 1). Die Rente wird vom Beginn des Monats an ausbezahlt, in dem der Rentenanspruch entsteht (Abs. 3).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 rungsrechtlich nicht als relevant gelten Einschränkungen der Erwerbsfähigkeit, welche die versi- cherte Person bei Aufbietung allen guten Willens, die verbleibende Leistungsfähigkeit zu verwer- ten, abwenden könnte; das Mass des Förderbaren wird dabei weitgehend objektiv bestimmt (BGE 131 V 49, 102 V 165; AHI 2001 S. 228 Erw. 2b mit Hinweisen; vgl. auch BGE 127 V 294 Erw. 4c). Eine Dysthymie gilt nur dann als Gesundheitsschaden im Sinne des Gesetzes, wenn sie zusam- men mit anderen Befunden – wie etwa einer ernsthaften Persönlichkeitsstörung – auftritt; allein ist sie regelmässig nicht invalidisierend (Urteil des Bundesgerichts 9C_605/2012 vom 23. Januar 2013 Erw. 3.3 mit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P. OMLIN, Die Invalidität in der obligatorischen Unfallversicherung, Diss. Frei- burg 1995, S. 201). Dabei ist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t>
      </w:r>
    </w:p>
    <w:p>
      <w:r>
        <w:t>Kantonsgericht KG Seite 5 von 11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Erw. 3.2.3). Falls die IV nach einer erstmaligen Rentenablehnung auf eine Neuanmeldung eintritt, so ist analog zu einer Rentenrevision zu prüfen, ob sich die tatsächlichen Verhältnisse seit der letzten ma- teriellen Abweisung eines Gesuchs in einer anspruchsrelevanten Weise verändert haben (BGE 130 V 71 Erw. 3.1).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Erw. 3a mit Hinweis). In Bezug auf Berichte von Hausärzten darf und soll der Richter der Erfahrungstatsache Rechnung tragen, dass Hausärzte mitunter im Hinblick auf ihre auftragsrechtliche Vertrauensstellung in Zweifelsfällen eher zu Gunsten ihrer Patienten aussagen (BGE 125 V 351 Erw. 3cc mit Hinweisen).</w:t>
      </w:r>
    </w:p>
    <w:p>
      <w:r>
        <w:rPr>
          <w:b/>
        </w:rPr>
        <w:t>E. 3</w:t>
      </w:r>
    </w:p>
    <w:p>
      <w:r>
        <w:t>Juli 2013, festgehalten bis Ende September 2009 bestehende vollständige Arbeitsunfähigkeit deckt sich somit nicht mit den Unterlagen, wird vom RAD auch nicht weiter erklärt und kann nicht berücksichtigt werden, vor allem auch deshalb nicht, da es sich bei den RAD-Ärzten nicht um Fachärzte der Kardiologie, sondern um Allgemeinärzte handelte. Weiter berichtete der Hausarzt am 18. Juli 2009 (IV-Akten, S. 631) erstmals von einer psychischen Entwicklung. Aufgrund dessen schlug der RAD in seinem vorerwähnten Bericht vom 4. November 2010 auch ein psychiatrisches Konsilium vor. Gemäss dem hierfür eingeholten Gutachten vom 17. Juni 2011 (IV-Akten, S. 757 ff.) besteht beim Beschwerdeführer eine gewisse Symptomfixie- rung. Die körperlichen Beschwerden würden sehr detailliert und mitunter sehr dramatisierend vor- getragen. Er sei aber auf andere Themen auslenkbar. Der Gutachter diagnostizierte lediglich eine Dysthymia (F 34.1). Vorher sei von einer Anpassungsstörung mit längerer depressiver Reaktion (F 43.21) auszugehen. Zudem würden auch diverse krankheitsfremde Faktoren (namentlich man- gelnde Ausbildung und deshalb schlechte Aussichten auf dem allgemeinen Arbeitsmarkt, geringe Sprachkenntnisse, finanzielle Schwierigkeiten) eine Rolle spielen. Aus rein psychischer Sicht sei jegliche Arbeit im Vollpensum möglich. Wie es die IV-Stelle zu Recht festhält, kann die vom Gut- achter festgehaltene Leistungseinschränkung von maximal 20% nicht berücksichtigt werden. Wie</w:t>
      </w:r>
    </w:p>
    <w:p>
      <w:r>
        <w:t>Kantonsgericht KG Seite 9 von 11 oben dargestellt, gilt eine Dysthymie nur ausnahmsweise als invalidisierend, wenn sie zusammen mit anderen Befunden – wie etwa einer ernsthaften Persönlichkeitsstörung – auftritt, was hier gerade nicht der Fall ist, weshalb auch aus psychischer Sicht keine Einschränkung der Arbeits- fähigkeit besteht. Auch aus den weiteren Berichten des Orthopäden und des Hausarztes kann nicht auf eine länger dauernde Arbeitsunfähigkeit ab Februar 2009 geschlossen werden. Zwar berichtete der Orthopäde am 7. September 2010 (IV-Akten, S. 716 ff.) von einem verschlechterten Gesundheitszustand. Es würden immer noch Restbeschwerden an der rechten Schulter bestehen. Zusätzlich sei auch eine AC-Gelenksarthrose links mit Ausstrahlung in den Nacken vorhanden. Auch diagnostizierte er Nackenbeschwerden bei degenerativen HWS-Beschwerden. Die funktionellen Einschränkungen für eine angepasste Tätigkeit wurden von ihm nun strenger beurteilt, als in seinem Vorbericht vom April 2009, und er erachtete noch eine halbtags ausgeübte Arbeit als zumutbar. Er leitete aber keine Therapie ein und erklärte einzig, intermittierend wäre eine physiotherapeutische Behandlung indiziert, weshalb dieser Bericht nicht vollständig überzeugt. Daran ändert auch der vorerwähnte RAD-Bericht vom 4. November 2010 nichts, in welchem zwar die Einschätzung des Orthopäden als nachvollziehbar eingestuft wird, gleichzeitig aber die Vornahme einer kardiologischen und psy- chiatrischen Abklärung empfohlen wurde. Zudem bestätigen sich die Zweifel an der Sichtweise des Orthopäden in seinem Bericht vom September 2010 mit dem Bericht des Hausarztes vom 9. Sep- tember 2010 (IV-Akten, S. 720 ff.). Darin werden zwar das Schlafapnoe-Syndrom, eine depressive Entwicklung sowie eine seit dem Herzinfarkt vorherrschende Müdigkeit und eingeschränkte Leis- tungsfähigkeit festgehalten und erklärt, gemäss den Pneumologen des L.________ (Bericht nicht vorhanden) werde eine pulmonal-arterielle Hypertonie vermutet, die – wie gesehen – von Dr. med. M.________ aber ausgeschlossen werden konnte. Trotz den vom Hausarzt festgehaltenen Beschwerden geht dieser aber sogar im bisherigen Beruf noch von einer Arbeitsfähigkeit von 50% aus, nur reduziert aufgrund der Rückenproblematik. Bei einer alternierend stehend und sitzend ausgeübten Tätigkeit, wie eine Arbeit in Kontrollfunktion, bestehe keine verminderte Leistungsfähigkeit. Zudem war der Beschwerdeführer seit dem 7. September 2010 nicht mehr beim Orthopäden in Behandlung, wie es dessen Bericht vom 24. Juni 2011 (IV-Akten, S. 783) zu entnehmen ist, weshalb davon ausgegangen werden muss, dass die vom Orthopäden in seinem Vorbericht aufgeführten Schulterbeschwerden links und Nackenbeschwerden offenbar nicht weiter relevant waren. Schliesslich führt auch der Bericht des Hausarztes vom 3. April 2012 (IV-Akten, S. 793 ff.) nicht zu einer anderen Sichtweise. Darin ging dieser ohne genauere Begründung noch von einer Arbeitsfähigkeit von 50% in einer angepassten Tätigkeit aus, gab aber gleichzeitig wieder, der Beschwerdeführer möchte ein 50%-Pensum ausüben, weshalb nicht ausgeschlossen werden kann, dass der Hausarzt sich für seine Einschätzung auf die subjektiven Sichtweise des Beschwerdeführers abgestützt hat. Dieser Bericht kann deshalb nicht weiter berücksichtigt werden. d) Am Vorstehenden ändern auch die Einwände des Beschwerdeführers nichts. Es ist zwar richtig, dass ihm nicht ein fehlender Wille zur Wiederintegration vorgeworfen werden kann. Die IV- Stelle wies aber zu Recht darauf hin, bereits die Verfügung vom 15. September 1999 habe die Gegenindikation des Berufs Marmorist festgehalten, wozu gemäss dem RAD in seinem vorer- wähnten Bericht vom 3. Juli 2013 auch das Fräsen und Schleifen zählen. Auch aus den diversen mit Hilfe der IV-Stelle durchgeführten Arbeitsversuchen ergibt sich eine gewisse Motivation des Beschwerdeführers. Dabei konnte gemäss den zusammen mit den Gegenbemerkungen einge- reichten Zeugnissen aber offenbar kein grösseres Pensum als 50% erreicht werden, obwohl ge- mäss den medizinischen Unterlagen, wie soeben dargestellt, ab Februar 2009 von einer vollstän- digen Arbeitsfähigkeit ausgegangen werden muss. Es kann einzig vermutet werden, dass die von ihm während diesen Arbeitsversuchen ausgeführten Tätigkeiten nicht optimal an seine funktionelle</w:t>
      </w:r>
    </w:p>
    <w:p>
      <w:r>
        <w:t>Kantonsgericht KG Seite 10 von 11 Einschränkungen angepasst gewesen waren, was wohl namentlich bei den zwei Versuchen in einem Restaurant bzw. Snackbetrieb sowie in demjenigen bei einem Coiffeur-Salon für Putz- und Aufräumarbeiten angenommen werden muss. Besser angepasst scheint die zeitlich befristete Arbeit bei der N.________, gewesen zu sein, welche dem Beschwerdeführer für die von ihm ausgeführten kleinen Montagearbeiten sehr gute Leistungen zuerkannte. Auch zu keiner anderen Einschätzung führen die am 16. Januar und 3. Februar 2015 nachgereich- ten Berichte der O.________ vom 4. August 2014, des Hausarztes vom 27. Januar 2015 sowie von Dr. med. P.________, Facharzt FMH für Allgemeine Innere Medizin und Pneumologie, vom 13. Oktober 2014. Aus diesen ergibt sich namentlich, dass dem Beschwerdeführer ein Stent eingesetzt wurde. In der Folge kam es offenbar zu verstärkter Atemnot. Zum einen betreffen diese Berichte die Zeitspanne nach dem Erlass der Verfügung vom 7. November 2012 und müssen damit grundsätzlich nicht in Betracht gezogen werden. Dies namentlich weil mit ihnen nicht die bekannten Beschwerden bis November 2012 diskutiert werden, sondern es sich dabei um neue Fakten handelt. Zum anderen ergibt sich – zumindest für die hier relevante Zeitperiode – gemäss den vorliegenden Unterlagen wie dargestellt eben gerade keine Einschränkung aus kardio- logischer Sicht. Sollte sich inzwischen der Gesundheitszustand des Beschwerdeführers tatsächlich verschlechtert haben, so steht es ihm frei, eine Neuanmeldung bei der Vorinstanz zu machen. e) Hinsichtlich der Berechnung des Invaliditätsgrads bringt der Beschwerdeführer keine kon- krete Kritik vor. Wie gesehen, hat der Beschwerdeführer Anspruch auf eine ganze Rente für die Zeit vom 1. Januar bis 30. April 2009. Für die übrige Zeit gibt es an der Sichtweise der IV-Stelle nichts auszusetzen, weshalb sich auch keine Änderung beim Invaliditätsgrad ergibt und dieser 24% beträgt, da sich die von der IV-Stelle vorgenommene Berechnung soweit ersichtlich als korrekt erweist.</w:t>
      </w:r>
    </w:p>
    <w:p>
      <w:r>
        <w:rPr>
          <w:b/>
        </w:rPr>
        <w:t>E. 4</w:t>
      </w:r>
    </w:p>
    <w:p>
      <w:r>
        <w:t>Zusammenfassend ist die Beschwerde teilweise gutzuheissen und die Verfügung vom</w:t>
      </w:r>
    </w:p>
    <w:p>
      <w:r>
        <w:rPr>
          <w:b/>
        </w:rPr>
        <w:t>E. 7</w:t>
      </w:r>
    </w:p>
    <w:p>
      <w:r>
        <w:t>November 2012 dermassen anzupassen, dass der Beschwerdeführer vom 1. Januar 2009 bis 30. April 2009 Anspruch auf eine ganze Rente hat. Im Übrigen ist die Beschwerde abzuweisen. 5. Die Gerichtskosten werden auf 800 Franken festgesetzt. Da der Beschwerdeführer mit seinen Anträgen bloss in untergeordneter Art und Weise obsiegt, sind ihm 700 Franken aufzuer- legen. Von deren Erhebung wird aufgrund der am 24. Januar 2013 gewährten unentgeltlichen Rechtspflege abgesehen. 100 Franken gehen zu Lasten der IV-Stelle. Die dem Beschwerdeführer zustehende Parteientschädigung sowie die Rechtsanwalt Patrik Gruber als amtlicher Rechtsbeistand zustehende Entschädigung werden auf der Grundlage der von diesem am 16. Januar 2015 eingereichten Kostenliste sowie unter Berücksichtigung von Art. 146 ff. des kantonalen Gesetzes vom 23. Mai 1991 über die Verwaltungsrechtspflege (VRG; SGF 150.1) und des Tarifs vom 17. Dezember 1991 über die Verfahrenskosten und Entschädi- gungen in der Verwaltungsjustiz (SGF 150.12) festgesetzt. Der nur in einem geringen Ausmass obsiegende Beschwerdeführer hat einen teilweisen Anspruch auf Parteientschädigung. Diese ist auf 575 Franken (2.5 Stunden à 230 Franken) festzusetzen. Zu diesem Betrag kommen die Auslagen von 12.50 Franken sowie die Mehrwertsteuer von 47 Franken (8% von 587.50 Franken) hinzu. Der Gesamtbetrag von 634.50 Franken geht zu Lasten der IV-Stelle. Rechtsanwalt Patrik Gruber ist in seiner Funktion als amtlicher Rechtsbeistand eine Entschädigung von 2'700 Franken (15 Stunden à 180 Franken) zuzusprechen. Zu diesem Betrag kommen die Auslagen von 88.50 Franken sowie die Mehrwertsteuer in der Höhe von 223.10 Franken (8% von</w:t>
      </w:r>
    </w:p>
    <w:p>
      <w:r>
        <w:t>Kantonsgericht KG Seite 11 von 11 2'788.50 Franken) hinzu. Die gesamte Entschädigung von 3'011.60 Franken ist durch den Staat zu übernehmen. Der Hof erkennt: I. Die Beschwerde von A.________ wird teilweise gutgeheissen. Die Verfügung vom 7. November 2012 wird in dem Sinn angepasst, dass A.________ vom 1. Januar 2009 bis 30. April 2009 Anspruch auf eine ganze Rente hat. Im Übrigen wird die Beschwerde abgewiesen. II. Die Verfahrenskosten werden auf 800 Franken festgesetzt. 700 Franken werden A.________ auferlegt. Von deren Erhebung wird aufgrund der gewährten unentgeltlichen Rechtspflege abgesehen. 100 Franken gehen zu Lasten der IV-Stelle. III. A.________ wird zu Lasten der IV-Stelle für das vorliegende Verfahren eine teilweise Parteientschädigung für Honorar (575 Franken) und Auslagen (12.50 Franken) des Rechtsvertreters von 587.50 Franken, zuzüglich der Mehrwertsteuer von 47 Franken (8% von 587.50 Franken) und damit insgesamt 634.50 Franken zugesprochen. IV. Rechtsanwalt Patrik Gruber wird im Rahmen der gewährten unentgeltlichen Rechtspflege (Verfügung vom 24. Januar 2013) eine Entschädigung von 2'700 Franken (15 Stunden à 180 Franken), zuzüglich Auslagen von 88.50 Franken sowie der Mehrwertsteuer von 223.10 Franken (8% von 2'788.50 Franken) zugesprochen. Der Totalbetrag von 3'011.60 Franken geht zu Lasten des Staates Freiburg.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24. Februar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