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73 vom 7. November 2023</w:t>
      </w:r>
    </w:p>
    <w:p>
      <w:r>
        <w:t>FR Kantonsgericht, 2023-11-07, DE</w:t>
      </w:r>
    </w:p>
    <w:p>
      <w:r>
        <w:rPr>
          <w:b/>
        </w:rPr>
        <w:t xml:space="preserve">Quelle: </w:t>
      </w:r>
      <w:r>
        <w:t>https://mcp.opencaselaw.ch/entscheid/fr_gerichte_604_2023_73</w:t>
      </w:r>
    </w:p>
    <w:p>
      <w:r>
        <w:t>FR: FR_GERICHTE 604 2023 73 du 7 novembre 2023</w:t>
      </w:r>
    </w:p>
    <w:p>
      <w:r>
        <w:t>IT: FR_GERICHTE 604 2023 73 del 7 novembre 2023</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Die am 7. Juli 2023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 Einspracheent- scheid vom 6. Juni 2023 ist begründet und enthält Rechtsbegehren (vgl. Art. 140 Abs. 2 DBG; Art. 50 Abs. 2 StHG; Art. 180 Abs. 2 DStG). Der Beschwerdeführer, Schuldner der in Frage gestellten Steuer, ist durch den angefochtenen Entscheid berührt und hat ein schutzwürdiges Interesse an dessen Aufhebung oder Änderung (vgl. Art. 76 Bst. a des Gesetzes vom 23. Mai 1991 über die Verwaltungsrechtspflege [VRG; SGF 150.1]). Auf die Beschwerde ist somit einzutreten. Direkte Bundessteuer (604 2023 73)</w:t>
      </w:r>
    </w:p>
    <w:p>
      <w:r>
        <w:rPr>
          <w:b/>
        </w:rPr>
        <w:t>E. 2</w:t>
      </w:r>
    </w:p>
    <w:p>
      <w:r>
        <w:t>Art. 22 DBG regelt die steuerliche Behandlung der Einkünfte aus Vorsorge. Steuerbar sind nach Absatz 1 "alle Einkünfte (...) aus Einrichtungen der beruflichen Vorsorge und aus anerkannten Formen der gebundenen Selbstvorsorge, mit Einschluss der Kapitalabfindungen und Rückzahlun- gen von Einlagen, Prämien und Beiträgen". Dazu gehören namentlich auch die Einkünfte aus der beruflichen Vorsorge (Urteil BGer 2C_217/2021 vom 4. November 2021 E. 2.1). Werden Leistungen aus Vorsorge als Kapitalleistungen ausbezahlt, findet Art. 38 DBG Anwendung. Gemäss Art. 38 Abs. 1 DBG werden solche Kapitalleistungen gesondert besteuert und unterliegen stets einer vollen Jahressteuer. Es handelt sich um eine besonders privilegierte Besteuerung, da die Steuer lediglich zu einem Fünftel des Tarifs nach Art. 36 DBG berechnet wird (Abs. 2) und überdies die Kapitalleistungen getrennt vom übrigen Einkommen besteuert werden (Sondersteuer), womit die Progressionswirkung durch das übrige Einkommen entfällt (Urteil BGer 2C_217/2021 vom</w:t>
      </w:r>
    </w:p>
    <w:p>
      <w:r>
        <w:rPr>
          <w:b/>
        </w:rPr>
        <w:t>E. 4</w:t>
      </w:r>
    </w:p>
    <w:p>
      <w:r>
        <w:t>In Bezug auf die Kantonssteuer wird die steuerliche Behandlung von Kapitalleistungen aus Vorsorge in Art. 23 DStG und Art. 39 DStG geregelt, welche den Art. 22 DBG und Art. 38 DBG entsprechen. Angesichts der mit dem Recht der direkten Bundessteuer übereinstimmenden gesetzlichen Rege- lung kann daher für die Rechtsanwendung auf die Ausführungen in den Erwägungen 2 und 3 verwie- sen werden. Demzufolge ist auch die Beschwerde betreffend die Kantonssteuer abzuweisen. Kosten- und Entschädigungsfolge</w:t>
      </w:r>
    </w:p>
    <w:p>
      <w:r>
        <w:rPr>
          <w:b/>
        </w:rPr>
        <w:t>E. 5.1</w:t>
      </w:r>
    </w:p>
    <w:p>
      <w:r>
        <w:t>Die Kosten des Verfahrens sind der unterliegenden Partei aufzuerlegen (Art. 144 Abs. 1 DBG; Art. 131 Abs. 1 VRG). Die Höhe der Verfahrenskosten wird durch das kantonale Recht bestimmt (Art. 144 Abs. 5 DBG). Das heisst, dass insbesondere der Tarif der Verfahrenskosten und Entschädigungen in der Verwaltungsjustiz vom 17. Dezember 1991 (Tarif VJ; SGF 150.12) zur Anwendung gelangt (Art. 146 und Art. 147 VRG sowie Art. 4 Abs. 3 des kantonalen Ausführungsbe- schlusses zum Bundesgesetz über die direkte Bundessteuer).</w:t>
      </w:r>
    </w:p>
    <w:p>
      <w:r>
        <w:t>Kantonsgericht KG Seite 8 von 8 Im vorliegenden Fall scheint es angemessen, die Gerichtsgebühr auf insgesamt CHF 4'000.- festzu- setzen. Diese Gerichtsgebühr ist dem unterliegenden Beschwerdeführer aufzuerlegen und zur Hälf- te mit dem geleisteten Kostenvorschuss von CHF 2'000.- zu verrechnen.</w:t>
      </w:r>
    </w:p>
    <w:p>
      <w:r>
        <w:rPr>
          <w:b/>
        </w:rPr>
        <w:t>E. 5.2</w:t>
      </w:r>
    </w:p>
    <w:p>
      <w:r>
        <w:t>Der unterliegende Beschwerdeführer hat keinen Anspruch auf eine Parteientschädigung (Art. 137 Abs. 1 VRG a contrario). Der Hof erkennt: Direkte Bundessteuer (604 2023 73) 1. Die Beschwerde wird abgewiesen. Kantonssteuer (604 2023 74) 2. Die Beschwerde wird abgewiesen. Kosten und Entschädigung 3. Die Verfahrenskosten werden auf CHF 4'000.- festgesetzt. Sie werden A.________ auferlegt und zur Hälfte mit dem geleisteten Kostenvorschuss von CHF 2'000.-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7. November 2023/dbe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