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67 vom 16. Februar 2023</w:t>
      </w:r>
    </w:p>
    <w:p>
      <w:r>
        <w:t>FR Kantonsgericht, 2023-02-16, FR</w:t>
      </w:r>
    </w:p>
    <w:p>
      <w:r>
        <w:rPr>
          <w:b/>
        </w:rPr>
        <w:t xml:space="preserve">Quelle: </w:t>
      </w:r>
      <w:r>
        <w:t>https://mcp.opencaselaw.ch/entscheid/fr_gerichte_604_2022_67</w:t>
      </w:r>
    </w:p>
    <w:p>
      <w:r>
        <w:t>FR: FR_GERICHTE 604 2022 67 du 16 février 2023</w:t>
      </w:r>
    </w:p>
    <w:p>
      <w:r>
        <w:t>IT: FR_GERICHTE 604 2022 67 del 16 febbraio 2023</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Sors du recours Le recours formé en droit cantonal est admis. Partant, la décision attaquée est annulée et la cause renvoyée au Service cantonal des contributions pour qu’il procède à l’imposition de la prestation en capital de CHF 308'845.- (arrondis) au 1er janvier 2022. Frais</w:t>
      </w:r>
    </w:p>
    <w:p>
      <w:r>
        <w:rPr>
          <w:b/>
        </w:rPr>
        <w:t>E. 9.1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effectuée par le recourant de CHF 1’000.- lui sera remboursée.</w:t>
      </w:r>
    </w:p>
    <w:p>
      <w:r>
        <w:rPr>
          <w:b/>
        </w:rPr>
        <w:t>E. 9.2</w:t>
      </w:r>
    </w:p>
    <w:p>
      <w:r>
        <w:t>Il n’est pas alloué de dépens, le recourant n’étant pas representé. (dispositif en page suivante)</w:t>
      </w:r>
    </w:p>
    <w:p>
      <w:r>
        <w:t>Tribunal cantonal TC Page 9 de 9 la Cour arrête : Impôt fédéral direct (604 2022 67) 1. Le recours est admis. Partant, la décision attaquée est annulée et la cause renvoyée au Service cantonal des contributions pour qu’il procède à l’imposition de la prestation en capital de CHF 308'845.- (arrondis) au 1er janvier 2022. Impôt cantonal (604 2022 68) 2. Le recours est admis. Partant, la décision attaquée est annulée et la cause renvoyée au Service cantonal des contributions pour qu’il procède à l’imposition de la prestation en capital de CHF 308'845.- (arrondis) au 1er janvier 2022. Frais et dépens 3. Il n’est pas perçu de frais de justice. L’avance de frais de CHF 1’000.- est restituée au recourant. 4. Il n’est pas alloué de dépens.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Fribourg, le 16 février 2023/mma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