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56 vom 21. Juni 2021</w:t>
      </w:r>
    </w:p>
    <w:p>
      <w:r>
        <w:t>FR Kantonsgericht, 2021-06-21, DE</w:t>
      </w:r>
    </w:p>
    <w:p>
      <w:r>
        <w:rPr>
          <w:b/>
        </w:rPr>
        <w:t xml:space="preserve">Quelle: </w:t>
      </w:r>
      <w:r>
        <w:t>https://mcp.opencaselaw.ch/entscheid/fr_gerichte_604_2021_56</w:t>
      </w:r>
    </w:p>
    <w:p>
      <w:r>
        <w:t>FR: FR_GERICHTE 604 2021 56 du 21 juin 2021</w:t>
      </w:r>
    </w:p>
    <w:p>
      <w:r>
        <w:t>IT: FR_GERICHTE 604 2021 56 del 21 giugno 2021</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w:t>
      </w:r>
    </w:p>
    <w:p>
      <w:r>
        <w:rPr>
          <w:b/>
        </w:rPr>
        <w:t>E. 6</w:t>
      </w:r>
    </w:p>
    <w:p>
      <w:r>
        <w:t>Juni 2000 über die direkten Kantonssteuern [DStG; SGF 631.1]). Die Beschwerdeschrift muss die Begehren der beschwerdeführenden Person und deren Begründung enthalten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22. April 2021 gegen den Einspracheentscheid vom 31. März 2021 ist durch den Beschwerdeführer frist- und formgerecht bei der sachlich und örtlich zuständigen Beschwerde- instanz eingereicht worden. Der Beschwerdeführer ist als Steuerschuldner durch den angefochte- nen Einspracheentscheid berührt und hat ohne weiteres ein schutzwürdiges Interesse an dessen Aufhebung oder Änderung (Art. 76 lit. a VRG). Auf die Beschwerde ist einzutreten. Direkte Bundessteuer (604 2021 56) 2. Streitig ist, ob die Vorinstanz zu Recht auf die Einsprache vom 16. Februar 2021 nicht eingetreten ist, da diese verspätet erhoben worden war. 2.1. Gegen die Veranlagungsverfügung kann der Steuerpflichtige innert 30 Tagen nach Zustel- lung bei der Veranlagungsbehörde schriftlich Einsprache erheben (Art. 132 Abs. 1 DBG). Die Frist beginnt mit dem auf die Eröffnung folgenden Tage. Sie gilt als eingehalten, wenn die Einsprache am letzten Tag der Frist bei der Veranlagungsbehörde eingelangt ist, der Schweizerischen Post oder einer schweizerischen diplomatischen oder konsularischen Vertretung im Ausland übergeben wurde. Fällt der letzte Tag auf einen Samstag, Sonntag oder staatlich anerkannten Feiertag, so läuft die Frist am nächstfolgenden Werktag ab (Art. 133 Abs. 1 DBG). Auf verspätete Einsprachen wird nur eingetreten, wenn der Steuerpflichtige nachweist, dass er durch Militär- oder Zivildienst, Krankheit, Landesabwesenheit oder andere erhebliche Gründe an der rechtzeitigen Einreichung verhindert war und dass die Einsprache innert 30 Tagen nach Wegfall der Hinderungsgründe eingereicht wurde (Art. 133 Abs. 3 DBG). Die Eröffnung einer Verfügung ist eine empfangsbedürftige einseitige Rechtshandlung. Der Beweis für den Empfang der Verfügung obliegt der Amtsstelle, welche diese erlassen hat. Diese Beweis- lastverteilung folgt aus der allgemeinen Regel, wonach grundsätzlich derjenige das Vorhandensein einer behaupteten Tatsache zu beweisen hat, der aus ihr Rechte ableitet (Art. 8 ZGB). Es besteht hingegen keine Vorschrift, Verfügungen wie die vorliegend zur Diskussion stehende Veranla- gungsanzeige dem Adressaten als eingeschriebene Sendung zuzustellen (vgl. Art. 116 Abs. 1 DBG). Eine solche Regelung wäre bei Massenverfügungen und -entscheiden unpraktikabel und</w:t>
      </w:r>
    </w:p>
    <w:p>
      <w:r>
        <w:t>Kantonsgericht KG Seite 4 von 6 mit zu grossem Aufwand verbunden. Die Beweislastregelung hat jedoch zur Folge, dass die Behörde das Risiko des fehlenden Beweises trägt. Im Zweifel ist auf die Darstellung des Adressa- ten abzustellen, wenn die Zustellung nicht eingeschriebener Sendungen bestritten wird oder eine verspätete Eröffnung geltend gemacht wird. Denn die blosse Postaufgabe beweist nicht zwingend, dass (und wann) der Adressat die Sendung auch empfangen hat. Ein Fehler bei der Postzustel- lung liegt nicht derart ausserhalb jeder Wahrscheinlichkeit, dass mit dieser Möglichkeit nicht gerechnet werden müsste (vgl. BGE 142 IV 125 E. 4.3 mit Verweis auf BGE 105 III 43 E. 2a; ZWEIFEL/CASANOVA/BEUSCH/HUNZIKER, Schweizerisches Steuerverfahrensrecht, 2. Auflage 2018, § 15 Rz. 48 mit weiteren Hinweisen). Es ist nicht zu verkennen, dass die dargelegte Regelung der Beweislast in Einzelfällen zu Missbräuchen führen könnte. Es empfiehlt sich daher in besonderen Fällen, die Verfügung ausnahmsweise eingeschrieben oder gegen Empfangsbestätigung zu versenden. Im Übrigen kann der Nachweis der Zustellung (bzw. ihr Zeitpunkt) freilich auch aufgrund von weiteren Indizien oder gestützt auf die gesamten Umstände erbracht werden. So kann sich etwa aus den eigenen Erklärungen oder dem Verhalten des Steuerpflichtigen ableiten lassen, dass und wann die Verfügung eröffnet worden ist (vgl. BGE 105 III 43 sowie das Urteil BGer 2C_637/2007 vom 4. April 2008 E. 2.4.1; ZWEIFEL/BEUSCH, Bundesgesetz über die direkte Bundessteuer, 3. Auflage 2017, Art. 116 Rz. 19). Der Vollzug der Zustellung gilt als erfolgt, wenn die Verfügung (bzw. der Entscheid) dem Adressa- ten tatsächlich ausgehändigt oder in seinen Herrschafts- bzw. Machtbereich gelangt ist, sodass er davon Kenntnis nehmen kann. Es genügt deshalb, wenn die Verfügung von einer anderen empfangsberechtigten Person entgegengenommen oder in den Briefkasten des Adressaten einge- worfen worden ist. Nicht erforderlich ist, dass der Adressat tatsächlich davon Kenntnis nimmt. Nicht eingeschriebene Sendungen gelangen in den Machtbereich des Adressaten, indem sie in dessen Briefkasten oder Postfach gelegt werden. Damit ist die Verfügung grundsätzlich ordnungs- gemäss zugestellt. Allerdings obliegt der Beweis, dass und wann die Zustellung erfolgt ist, der Steuerbehörde (ZWEIFEL/BEUSCH, Art. 116 Rz. 20; ZWEIFEL/CASANOVA/BEUSCH/HUNZIKER, § 15 Rz. 48; je mit weiteren Hinweisen). 2.2. Im vorliegenden Fall datiert die dem angefochtenen Einspracheentscheid zu Grunde liegen- de Veranlagungsanzeige vom 17. Dezember 2020. Der Versand der Verfügung erfolgte unbestrit- tenermassen per einfachen Brief (B-Post). Wenn die Steuerverwaltung unter Hinweis auf die Homepage der Schweizerischen Post (nachfol- gend: Post) darauf verweist, dass bei B-Post-Massensendungen die Zustellung bis spätestens am sechsten Werktag erfolge (vgl. https://www.post.ch/de/briefe-versenden/massenversand-briefe/ massenversand-inland/b-post-massensendung), und deshalb davon ausgeht, dass die Sendung spätestens am 24. Dezember 2020 zugestellt worden sei, so kann ihr nicht gefolgt werden. Dies bereits deshalb, weil nicht aktenkundig ist, an welchem Tag die Verfügung der Post übergeben wurde. Es ist gerichtsnotorisch, dass Verfügungen nicht immer an dem Tag, an dem sie erstellt wurden, der Post übergeben werden; so wurde auch der angefochtene Einspracheentscheid, der das Datum vom 31. März 2021 trägt, erst am 7. April 2021 der Post übergeben (vgl. die Beschwer- debeilage 2). Es kann also nicht ausgeschlossen, dass es auch beim Versand der Veranlagungs- anzeige zu einer entsprechenden Verzögerung gekommen ist. Kommt hinzu, dass der Versand der Veranlagungsanzeige um Weihnachten herum erfolgte – in einer Zeit also, in der bei der Post regelmässig Hochbetrieb herrscht. Dieser Umstand wurde im Jahr 2020 durch die Pandemie zusätzlich verschärft.</w:t>
      </w:r>
    </w:p>
    <w:p>
      <w:r>
        <w:t>Kantonsgericht KG Seite 5 von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