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79 vom 24. November 2020</w:t>
      </w:r>
    </w:p>
    <w:p>
      <w:r>
        <w:t>FR Kantonsgericht, 2020-11-24, FR</w:t>
      </w:r>
    </w:p>
    <w:p>
      <w:r>
        <w:rPr>
          <w:b/>
        </w:rPr>
        <w:t xml:space="preserve">Quelle: </w:t>
      </w:r>
      <w:r>
        <w:t>https://mcp.opencaselaw.ch/entscheid/fr_gerichte_604_2020_79</w:t>
      </w:r>
    </w:p>
    <w:p>
      <w:r>
        <w:t>FR: FR_GERICHTE 604 2020 79 du 24 novembre 2020</w:t>
      </w:r>
    </w:p>
    <w:p>
      <w:r>
        <w:t>IT: FR_GERICHTE 604 2020 79 del 24 novembre 2020</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 arrêt TF 6B_187/2015 du 28 avril 2015 consid. 1.1.2).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En l’espèce, dans son arrêt du 20 septembre 2020, le Tribunal fédéral a rejeté le recours et confirmé l’arrêt de la Cour fiscale du 9 mars 2020 en ce qui concerne la décision d’inclure tous les versements d’arriérés de prestations sociales dans le revenu imposable du contribuable et de son épouse pour la période fiscale 2016, et ce tant pour l’impôt fédéral direct que pour l’impôt cantonal (cf. arrêt TF 2C_285/2020 consid. 5.4 et 8). Il a également relevé que c’était de manière conforme à l’art. 37 de la loi du 14 décembre 1990 sur l'impôt fédéral direct (LIFD; RS 642.11) et à la jurisprudence que la Cour fiscale avait procédé à une conversion en prestation annuelle des arriérés de rentes AI et de rentes LPP du contribuable (cf. arrêt TF 2C_285/2020 consid. 6.1 et 8).</w:t>
      </w:r>
    </w:p>
    <w:p>
      <w:r>
        <w:t>Tribunal cantonal TC Page 4 de 7 Ces questions sont par conséquent définitivement jugées et ne peuvent plus être examinées par la Cour de céans. Le Tribunal fédéral a également relevé que le versement d’arriérés d’allocations familiales doit également être pris en compte pour le taux de la rente, tant pour l’impôt fédéral direct que pour l’impôt cantonal (cf. arrêt TF 2C_285/2020 consid. 6.2 et 8). Il a par conséquent renvoyé la cause à la Cour de céans pour qu’elle détermine si des arriérés d’allocations familiales ont été versées en 2016 et, dans l’affirmative, si les conditions posées par la jurisprudence à l’application de l’art. 37 LIFD sont remplies (cf. arrêt TF 2C_285/2020 consid. 6.3 et 8). Seule cette question doit par conséquent encore être examinée. Impôt fédéral direct (604 2020 79)</w:t>
      </w:r>
    </w:p>
    <w:p>
      <w:r>
        <w:rPr>
          <w:b/>
        </w:rPr>
        <w:t>E. 2.1</w:t>
      </w:r>
    </w:p>
    <w:p>
      <w:r>
        <w:t>En principe, le revenu imposable et le revenu déterminant pour le taux de l'impôt sont identiques. L'art. 37 LIFD prévoit toutefois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L'application de l'art. 37 LIFD ne modifie donc pas la base d'imposition, en ce sens que le versement en capital remplaçant des prestations périodiques est additionné aux autres revenus acquis durant la période fiscale. L'art. 37 LIFD instaure un système spécial dit "du taux de la rente" pour des versements qui sont effectués en une seule fois, mais qui sont destinés à éteindre une créance relative à des prestations périodiques, le versement devant remplacer une prestation due à l'origine sous une autre forme. S'agissant d'un versement en capital opéré en contrepartie de prestations qui auraient dues être fournies par le passé, un tel système ne s'applique que si, de par leur nature, les prestations en cause auraient normalement dû être versées périodiquement, mais qu'un tel paiement n'a pas eu lieu indépendamment de la volonté du bénéficiaire (cf. ATF 145 II 2 consid. 5.1). Lorsqu'on se trouve dans un cas d'application de l'art. 37 LIFD et que les prestations périodiques allouées sous forme de capital s'étendent sur un nombre déterminé d'années, le capital versé est imposable à un taux "périodisé". Cette conversion s'effectue en divisant le montant du versement unique par le nombre d'années en vue de déterminer le montant de la rente pris en compte pour le taux. Lorsque le droit aux prestations périodiques s'étend sur un nombre déterminé de mois, il faut également calculer la prestation annuelle (cf. arrêt 2C_640/2010 du 11 décembre 2010 consid. 3.5). Les rentes échues ultérieurement n’ont en revanche pas à être intégrées dans le versement en capital en vue de la conversion pour déterminer le taux applicable ; elles sont ajoutées aux autres revenus afférents à la période fiscale en cause et imposées au taux du revenu ordinaire, avec les autres éléments (cf. JAQUES, in CR LIFD, 2e éd. 2017, art. 37 n. 15). La ratio legis de l'art. 37 LIFD consiste à éviter que la charge fiscale afférente aux indemnités en capital versées ne soit supérieure (à cause de la progressivité des taux) à celle qui aurait été applicable si les indemnités périodiques avaient été versées régulièrement, mais qui ne l'ont pas été, indépendamment de la volonté du bénéficiaire (cf. ATF 145 II 2 consid. 5.1).</w:t>
      </w:r>
    </w:p>
    <w:p>
      <w:r>
        <w:rPr>
          <w:b/>
        </w:rPr>
        <w:t>E. 2.2</w:t>
      </w:r>
    </w:p>
    <w:p>
      <w:r>
        <w:t>En l’espèce, selon les informations fournies par D.________ le 23 octobre 2020, le montant de CHF 5'476.60 qui a été versé à B.________ en 2016 se compose des allocations de formation pour E.________ pour les périodes du 3 septembre au 19 décembre 2014, du 5 janvier au 2 avril</w:t>
      </w:r>
    </w:p>
    <w:p>
      <w:r>
        <w:t>Tribunal cantonal TC Page 5 de 7 2015 et du 20 avril au 3 juillet 2015, ainsi que des allocations de formation pour F.________ pour les mêmes périodes. Il ressort par ailleurs du décompte de salaire de B.________ auprès de C.________ pour le mois de février 2016, document produit par le recourant pour la première fois à l’appui de son recours au Tribunal fédéral, qu’un rétroactif d’allocations familiales pour les mois de juillet 2015 à janvier 2016, soit CHF 6’060.- (4'170 + 1'890), lui avait été versé en février 2016. Le capital de CHF 11’536.60 (5'476.60 + 6’060), relatif aux allocations familiales versées par les employeurs successifs de B.________ au titre de versement rétroactif pour les mois de septembre 2014 à janvier 2016, concerne par conséquent une période de 17 mois. Il importe peu à cet égard que le versement ait été effectué par deux employeurs différents, seul le fait qu’il s’agit des mêmes prestations sociales est déterminant. Il convient ainsi de convertir ce capital en rente, en le divisant par le nombre de mois rattrapés puis en multipliant le résultat par douze en vue de son "annualisation". On aboutit de la sorte au montant annualisé de CHF 8’143.50 (11’536.60 : 17 x 12). C’est ce montant qui doit être pris en compte pour le calcul du taux d’imposition à appliquer ou, en d’autres termes, c’est un montant de CHF 3'993.- (11'536.60 – 8'143.50) qui doit être porté en déduction pour la détermination de ce taux. Compte tenu de ce qui précède, et de la décision relative à l’imposition des rentes AI et LPP de A.________ telle que confirmée par le Tribunal fédéral, c’est un montant total de CHF 61'898.- (57'905 + 3'993) qui devra être porté en déduction pour la détermination du taux d’imposition sous code 6.920.</w:t>
      </w:r>
    </w:p>
    <w:p>
      <w:r>
        <w:rPr>
          <w:b/>
        </w:rPr>
        <w:t>E. 3</w:t>
      </w:r>
    </w:p>
    <w:p>
      <w:r>
        <w:t>Le recours est ainsi partiellement admis.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vu le sort du recours et l’ensemble des circonstances du cas, il se justifie de fixer les frais à la charge du recourant à CHF 300.-. Impôt cantonal (604 2020 80)</w:t>
      </w:r>
    </w:p>
    <w:p>
      <w:r>
        <w:rPr>
          <w:b/>
        </w:rPr>
        <w:t>E. 4</w:t>
      </w:r>
    </w:p>
    <w:p>
      <w:r>
        <w:t>En droit cantonal également, le revenu imposable se détermine d'après les revenus acquis pendant la période fiscale (art. 64 al. 1 de la loi fribourgeoise du 6 juin 2000 sur les impôts cantonaux directs [LICD; RSF 631.1] et art. 16 al. 1 de la loi fédérale du 14 décembre 1990 sur l’harmonisation des impôts directs des cantons et des communes [LHID; RS 642.14]). Il a pour objet tous les revenus du contribuable, qu’ils soient uniques ou périodiques (art. 17 al. 1 LICD et art. 7 al. 1 LHID). Et lorsque le revenu comprend des versements de capitaux remplaçant des prestations périodiques, l’impôt se calcule compte tenu des autres revenus et des déductions</w:t>
      </w:r>
    </w:p>
    <w:p>
      <w:r>
        <w:t>Tribunal cantonal TC Page 6 de 7 autorisées, au taux qui serait applicable si une prestation annuelle était servie en lieu et place de la prestation unique (art. 38 LICD et art. 11 LHID). Pour des motifs identiques à que ceux invoqués en matière d'impôt fédéral direct, il se justifie donc d’admettre dans la même faible mesure le recours déposé au niveau cantonal.</w:t>
      </w:r>
    </w:p>
    <w:p>
      <w:r>
        <w:rPr>
          <w:b/>
        </w:rPr>
        <w:t>E. 5</w:t>
      </w:r>
    </w:p>
    <w:p>
      <w:r>
        <w:t>Le recours formé en droit cantonal est ainsi partiellement admis lui aussi. Conformément à l’art. 131 CPJA, en cas de recours, la partie qui succombe supporte les frais de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vu le sort du recours et l’ensemble des circonstances du cas, il se justifie de mettre à la charge du recourant un émolument réduit de CHF 300.-. (dispositif en page suivante)</w:t>
      </w:r>
    </w:p>
    <w:p>
      <w:r>
        <w:t>Tribunal cantonal TC Page 7 de 7 la Cour arrête : Impôt fédéral direct (604 2020 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