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604 2020 60 vom 26. Januar 2021</w:t>
      </w:r>
    </w:p>
    <w:p>
      <w:r>
        <w:t>FR Kantonsgericht, 2021-01-26, DE</w:t>
      </w:r>
    </w:p>
    <w:p>
      <w:r>
        <w:rPr>
          <w:b/>
        </w:rPr>
        <w:t xml:space="preserve">Quelle: </w:t>
      </w:r>
      <w:r>
        <w:t>https://mcp.opencaselaw.ch/entscheid/fr_gerichte_604_2020_60</w:t>
      </w:r>
    </w:p>
    <w:p>
      <w:r>
        <w:t>FR: FR_GERICHTE 604 2020 60 du 26 janvier 2021</w:t>
      </w:r>
    </w:p>
    <w:p>
      <w:r>
        <w:t>IT: FR_GERICHTE 604 2020 60 del 26 gennaio 2021</w:t>
      </w:r>
    </w:p>
    <w:p>
      <w:pPr>
        <w:pStyle w:val="Heading2"/>
      </w:pPr>
      <w:r>
        <w:t>Regeste</w:t>
      </w:r>
    </w:p>
    <w:p>
      <w:r>
        <w:t>Urteil des Steuergerichtshofes des Kantonsgerichts | Einkommens- und Vermögenssteuer der natürlichen Personen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Einspracheentscheide der Veranlagungsbehörde kann die steuerpflichtige Person innert 30 Tagen nach Zustellung beim Kantonsgericht schriftlich Beschwerde erheben (Art. 140 Abs. 1</w:t>
      </w:r>
    </w:p>
    <w:p>
      <w:r>
        <w:t>Kantonsgericht KG Seite 4 von 9 des Bundesgesetzes vom 14. Dezember 1990 über die direkte Bundessteuer [DBG; SR 642.11]; Art. 50 Abs. 1 des Bundesgesetzes vom 14. Dezember 1990 über die Harmonisierung der direkten Steuern der Kantone und Gemeinden [StHG; SR 642.14]; Art. 180 Abs. 1 des Gesetzes vom</w:t>
      </w:r>
    </w:p>
    <w:p>
      <w:r>
        <w:rPr>
          <w:b/>
        </w:rPr>
        <w:t>E. 6</w:t>
      </w:r>
    </w:p>
    <w:p>
      <w:r>
        <w:t>Die vorne dargelegten Grundsätze gelten auch unter dem (harmonisierten) kantonalen Recht. Die entsprechenden, praktisch gleich lautenden Gesetzesbestimmungen sind in Art. 9 Abs. 2 Bst. d StHG sowie Art. 34 Abs. 1 Bst. d DStG enthalten. Angesichts der mit dem Recht der direkten Bundessteuer übereinstimmenden gesetzlichen Rege- lung kann für die Rechtsanwendung auf die Ausführungen in den Erwägungen 3 und 4 verwiesen werden. Demzufolge ist auch die Beschwerde betreffend die Kantonssteuer abzuweisen, soweit darauf einzutreten ist.</w:t>
      </w:r>
    </w:p>
    <w:p>
      <w:r>
        <w:rPr>
          <w:b/>
        </w:rPr>
        <w:t>E. 7</w:t>
      </w:r>
    </w:p>
    <w:p>
      <w:r>
        <w:t>Dem Ausgang des Verfahrens entsprechend sind die Verfahrenskosten den unterliegenden Beschwerdeführern aufzuerlegen (Art. 131 Abs. 1 VRG). Dabei gelangt der Tarif VJ zur Anwen- dung (vgl. Art. 146 und Art. 147 VRG).</w:t>
      </w:r>
    </w:p>
    <w:p>
      <w:r>
        <w:t>Kantonsgericht KG Seite 9 von 9 Im vorliegenden Fall erscheint es angemessen, die Gerichtsgebühr auf CHF 2‘250.- festzusetzen. Diese Gerichtsgebühr ist mit dem geleisteten Kostenvorschuss zu verrechnen. Der Hof erkennt: Direkte Bundessteuer (604 2020 60)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