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29 vom 24. Oktober 2020</w:t>
      </w:r>
    </w:p>
    <w:p>
      <w:r>
        <w:t>FR Kantonsgericht, 2020-10-24, FR</w:t>
      </w:r>
    </w:p>
    <w:p>
      <w:r>
        <w:rPr>
          <w:b/>
        </w:rPr>
        <w:t xml:space="preserve">Quelle: </w:t>
      </w:r>
      <w:r>
        <w:t>https://mcp.opencaselaw.ch/entscheid/fr_gerichte_604_2020_29</w:t>
      </w:r>
    </w:p>
    <w:p>
      <w:r>
        <w:t>FR: FR_GERICHTE 604 2020 29 du 24 octobre 2020</w:t>
      </w:r>
    </w:p>
    <w:p>
      <w:r>
        <w:t>IT: FR_GERICHTE 604 2020 29 del 24 ottobre 2020</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mars 2020; que le délai de recours est de trente jours dès la notification de la décision entreprise, en droit fédéral (cf. art. 140 al. 1 de la loi sur l’impôt fédéral direct du 14 décembre 1990 [LIFD; RS 642.11]) comme en droit cantonal (cf. art. 180 al. 1 de la loi sur les impôts cantonaux directs du 6 juin 2000 [LICD; RSF 631.1]); que les délais fixés en jours commencent à courir le lendemain du jour de leur communication ou de l'événement qui les déclenche; lorsqu'il échoit un samedi, un dimanche ou un autre jour férié ou assimilé à un jour férié, le délai est reporté au premier jour utile qui suit (cf. art. 27 al. 1 et 2 du code de procédure et de juridiction administrative du 23 mai 1991 [CPJA; RSF 150.1] par renvoi de l’art. 182 LICD; art. 133 al. 1 LIFD par renvoi de l'art. 140 al. 4 LIFD); que, selon les art. 147 al. 1 LICD et 116 al. 1 LIFD, les décisions et les prononcés sont notifiés au contribuable par écrit et doivent indiquer les voies de droit;</w:t>
      </w:r>
    </w:p>
    <w:p>
      <w:r>
        <w:t>Tribunal cantonal TC Page 3 de 4 que la notification doit permettre au destinataire de prendre connaissance de la décision et, le cas échéant, de faire usage des voies de droit ouvertes à son encontre; s'agissant d'un acte soumis à réception, la notification est réputée parfaite au moment où la décision entre dans la sphère d'influence de son destinataire (cf. ATF 113 Ib 296 consid. 2a; arrêt TF 2C_1021/2018 du 26 juillet 2019 consid. 4.1); qu’une décision irrégulièrement notifiée n'est pas nulle, mais simplement inopposable à ceux qui auraient dû en être les destinataires; la protection des parties est cependant suffisamment garantie lorsque la notification irrégulière atteint son but malgré cette irrégularité;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l'existence de la décision qu'il entend contester (cf. arrêt TF 2C_1021/2018 du 26 juillet 2019 consid. 4.2 et les références); que le fardeau de la preuve de la notification d'un acte et de sa date incombe en principe à l'autorité qui entend en tirer une conséquence juridique (cf. ATF 129 I 8 consid. 2.2);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(cf. arrêt TF 1C_185/2020 du 5 mai 2020 consid. 3); qu’en l’espèce, les contribuables ont eu connaissance des décisions sur réclamation à tout le moins le 9 avril 2020 lorsqu’ils ont appris, à l’occasion d’un contact avec leur commune de domicile, que ces décisions avaient été rendues; qu’ils ont en outre eu connaissance du contenu des décisions sur réclamation à réception de l’envoi du Service cantonal des contributions du 22 avril 2020, soit au plus tard à la fin du mois d’avril 2020; qu’en effet, dans la mesure où les contribuables ont produit, à l’appui de leur recours, les décisions sur réclamation datées du 11 mars 2020, et non celles portant la date du 7 mai 2020 qui ont été communiquées ultérieurement à leur nouveau mandataire, force est de constater que le pli du 22 avril 2020 a bien été réceptionné par les contribuables; que le délai de recours expirait dès lors au plus tard le lundi 1er juin 2020 et que l’acte de recours du 10 juin 2020 est donc tardif et, par conséquent, irrecevable; que, conformément à l'art. 131 CPJA, en cas de recours, la partie qui succombe supporte les frais de la procédure et que le montant de l'émolument est fixé compte tenu du temps et du travail requis, de l'importance de l'affaire ainsi que, dans les affaires de nature pécuniaire, de la valeur litigieuse en cause (cf. art. 2 du Tarif du 17 décembre 1991 des frais de procédure et des indemnités en matière de juridiction administrative [RSF 150.12]); il peut être compris entre CHF 50.- et 50'000.- (art. 1 du Tarif); qu’en l'espèce, il se justifie de fixer les frais à CHF 100.- pour chacune des procédures de recours en droit fédéral et en droit cantonal;</w:t>
      </w:r>
    </w:p>
    <w:p>
      <w:r>
        <w:t>Tribunal cantonal TC Page 4 de 4 la Cour arrête: Impôt fédéral direct (604 2020 29 &amp;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