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25 vom 9. Dezember 2020</w:t>
      </w:r>
    </w:p>
    <w:p>
      <w:r>
        <w:t>FR Kantonsgericht, 2020-12-09, FR</w:t>
      </w:r>
    </w:p>
    <w:p>
      <w:r>
        <w:rPr>
          <w:b/>
        </w:rPr>
        <w:t xml:space="preserve">Quelle: </w:t>
      </w:r>
      <w:r>
        <w:t>https://mcp.opencaselaw.ch/entscheid/fr_gerichte_604_2020_25</w:t>
      </w:r>
    </w:p>
    <w:p>
      <w:r>
        <w:t>FR: FR_GERICHTE 604 2020 25 du 9 décembre 2020</w:t>
      </w:r>
    </w:p>
    <w:p>
      <w:r>
        <w:t>IT: FR_GERICHTE 604 2020 25 del 9 dicembre 2020</w:t>
      </w:r>
    </w:p>
    <w:p>
      <w:pPr>
        <w:pStyle w:val="Heading2"/>
      </w:pPr>
      <w:r>
        <w:t>Regeste</w:t>
      </w:r>
    </w:p>
    <w:p>
      <w:r>
        <w:t>Arrêt de la Cour fiscale du Tribunal cantonal | Einkommens- und Vermögenssteuer der natürlichen Personen</w:t>
      </w:r>
    </w:p>
    <w:p>
      <w:pPr>
        <w:pStyle w:val="Heading2"/>
      </w:pPr>
      <w:r>
        <w:t>Erwägungen</w:t>
      </w:r>
    </w:p>
    <w:p>
      <w:r>
        <w:rPr>
          <w:b/>
        </w:rPr>
        <w:t>E. 5</w:t>
      </w:r>
    </w:p>
    <w:p>
      <w:r>
        <w:t>Sort du recours et frais</w:t>
      </w:r>
    </w:p>
    <w:p>
      <w:r>
        <w:rPr>
          <w:b/>
        </w:rPr>
        <w:t>E. 5.1</w:t>
      </w:r>
    </w:p>
    <w:p>
      <w:r>
        <w:t>Sur le vu de ce qui précède, le recours est rejeté.</w:t>
      </w:r>
    </w:p>
    <w:p>
      <w:r>
        <w:rPr>
          <w:b/>
        </w:rPr>
        <w:t>E. 5.2</w:t>
      </w:r>
    </w:p>
    <w:p>
      <w:r>
        <w:t>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 En l'espèce, il se justifie de fixer les frais à CHF 400.-. Impôt cantonal (604 2020 26)</w:t>
      </w:r>
    </w:p>
    <w:p>
      <w:r>
        <w:rPr>
          <w:b/>
        </w:rPr>
        <w:t>E. 6</w:t>
      </w:r>
    </w:p>
    <w:p>
      <w:r>
        <w:t>Reprise du raisonnement appliqué pour l’impôt fédéral direct</w:t>
      </w:r>
    </w:p>
    <w:p>
      <w:r>
        <w:rPr>
          <w:b/>
        </w:rPr>
        <w:t>E. 6.1</w:t>
      </w:r>
    </w:p>
    <w:p>
      <w:r>
        <w:t>Au niveau cantonal également, l'art. 34 al. 1 let. d LICD prévoit que sont déductibles du revenu imposable les primes, cotisations et montants légaux, statutaires ou réglementaires versés à des institutions de la prévoyance professionnelle. Quant à l'art. 192 al. 1 LICD relatif au rappel d'impôt, il a un contenu identique à l'art. 151 al. 1 LIFD.</w:t>
      </w:r>
    </w:p>
    <w:p>
      <w:r>
        <w:rPr>
          <w:b/>
        </w:rPr>
        <w:t>E. 6.2</w:t>
      </w:r>
    </w:p>
    <w:p>
      <w:r>
        <w:t>Les développements concernant le droit fédéral (voir ci-dessus consid. 2) sont également valables en droit cantonal dans la mesure où il s'agit de droit harmonisé (art. 9 al. 2 let. d LHID). En présence de règles similaires, les considérants concernant l'impôt fédéral direct (voir ci-dessus consid. 3 et 4) peuvent être repris pour l'impôt cantonal. Il s'ensuit que la déductibilité du rachat litigieux du revenu imposable au niveau cantonal a été niée à bon droit par l'autorité intimée et que le rappel d’impôt y relatif portant sur la période fiscale 2015 doit également être confirmé.</w:t>
      </w:r>
    </w:p>
    <w:p>
      <w:r>
        <w:rPr>
          <w:b/>
        </w:rPr>
        <w:t>E. 7</w:t>
      </w:r>
    </w:p>
    <w:p>
      <w:r>
        <w:t>Sort du recours et frais</w:t>
      </w:r>
    </w:p>
    <w:p>
      <w:r>
        <w:rPr>
          <w:b/>
        </w:rPr>
        <w:t>E. 7.1</w:t>
      </w:r>
    </w:p>
    <w:p>
      <w:r>
        <w:t>Le recours formé en droit cantonal est rejeté.</w:t>
      </w:r>
    </w:p>
    <w:p>
      <w:r>
        <w:rPr>
          <w:b/>
        </w:rPr>
        <w:t>E. 7.2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à la charge du recourant un émolument de CHF 400.-.</w:t>
      </w:r>
    </w:p>
    <w:p>
      <w:r>
        <w:t>Tribunal cantonal TC Page 10 de 10 la Cour arrête : I. Impôt fédéral direct (604 2020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