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604 2018 31 vom 21. August 2018</w:t>
      </w:r>
    </w:p>
    <w:p>
      <w:r>
        <w:t>FR Kantonsgericht, 2018-08-21, DE</w:t>
      </w:r>
    </w:p>
    <w:p>
      <w:r>
        <w:rPr>
          <w:b/>
        </w:rPr>
        <w:t xml:space="preserve">Quelle: </w:t>
      </w:r>
      <w:r>
        <w:t>https://mcp.opencaselaw.ch/entscheid/fr_gerichte_604_2018_31</w:t>
      </w:r>
    </w:p>
    <w:p>
      <w:r>
        <w:t>FR: FR_GERICHTE 604 2018 31 du 21 août 2018</w:t>
      </w:r>
    </w:p>
    <w:p>
      <w:r>
        <w:t>IT: FR_GERICHTE 604 2018 31 del 21 agosto 2018</w:t>
      </w:r>
    </w:p>
    <w:p>
      <w:pPr>
        <w:pStyle w:val="Heading2"/>
      </w:pPr>
      <w:r>
        <w:t>Regeste</w:t>
      </w:r>
    </w:p>
    <w:p>
      <w:r>
        <w:t>Urteil des Steuergerichtshofes des Kantonsgerichts | Einkommens- und Vermögenssteuer der natürlichen Personen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Gegen Einspracheentscheide der Veranlagungsbehörde kann die steuerpflichtige Person innert 30 Tagen nach Zustellung beim Kantonsgericht schriftlich Beschwerde erheben (Art. 140 Abs. 1 des Bundesgesetzes vom 14. Dezember 1990 über die direkte Bundessteuer [DBG; SR 642.11]; Art. 50 Abs. 1 des Bundesgesetzes vom 14. Dezember 1990 über die Harmonisierung der direkten Steuern der Kantone und Gemeinden [StHG; SR 642.14]; Art. 180 Abs. 1 des Gesetzes vom</w:t>
      </w:r>
    </w:p>
    <w:p>
      <w:r>
        <w:rPr>
          <w:b/>
        </w:rPr>
        <w:t>E. 6</w:t>
      </w:r>
    </w:p>
    <w:p>
      <w:r>
        <w:t>Dem Ausgang des Verfahrens entsprechend sind die Kosten den Beschwerdeführern aufzu- erlegen (Art. 131 Abs. 1 VRG). Dabei gelangt der Tarif VJ zur Anwendung (vgl. Art. 146 und Art. 147 VRG). Im vorliegenden Fall erscheint es angemessen, die Gerichtsgebühr auf CHF 400.- festzusetzen. Diese Gerichtsgebühr ist mit dem geleisteten Kostenvorschuss zu verrechnen. Der Hof erkennt: I. Direkte Bundessteuer (604 2018 31)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