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2016 99 vom 16. November 2017</w:t>
      </w:r>
    </w:p>
    <w:p>
      <w:r>
        <w:t>FR Kantonsgericht, 2017-11-16, FR</w:t>
      </w:r>
    </w:p>
    <w:p>
      <w:r>
        <w:rPr>
          <w:b/>
        </w:rPr>
        <w:t xml:space="preserve">Quelle: </w:t>
      </w:r>
      <w:r>
        <w:t>https://mcp.opencaselaw.ch/entscheid/fr_gerichte_604_2016_99</w:t>
      </w:r>
    </w:p>
    <w:p>
      <w:r>
        <w:t>FR: FR_GERICHTE 604 2016 99 du 16 novembre 2017</w:t>
      </w:r>
    </w:p>
    <w:p>
      <w:r>
        <w:t>IT: FR_GERICHTE 604 2016 99 del 16 novembre 2017</w:t>
      </w:r>
    </w:p>
    <w:p>
      <w:pPr>
        <w:pStyle w:val="Heading2"/>
      </w:pPr>
      <w:r>
        <w:t>Regeste</w:t>
      </w:r>
    </w:p>
    <w:p>
      <w:r>
        <w:t>Arrêt de la Cour fiscale du Tribunal cantonal | Einkommens- und Vermögenssteuer der natürlichen Personen</w:t>
      </w:r>
    </w:p>
    <w:p>
      <w:pPr>
        <w:pStyle w:val="Heading2"/>
      </w:pPr>
      <w:r>
        <w:t>Erwägungen</w:t>
      </w:r>
    </w:p>
    <w:p>
      <w:r>
        <w:rPr>
          <w:b/>
        </w:rPr>
        <w:t>E. 1</w:t>
      </w:r>
    </w:p>
    <w:p>
      <w:r>
        <w:t>Le recours, posté le 5 juillet 2016 contre une décision du 7 juin 2016, a été déposé dans le délai et les formes prévus aux art. 140 ss de la loi du 14 décembre 1990 sur l'impôt fédéral direct (LIFD; RS 642.11), 50 al. 1 de la loi fédérale du 14 décembre 1990 sur l’harmonisation des impôts directs des cantons et des communes (LHID; RS 642.14), 180 de la loi fribourgeoise du</w:t>
      </w:r>
    </w:p>
    <w:p>
      <w:r>
        <w:rPr>
          <w:b/>
        </w:rPr>
        <w:t>E. 6</w:t>
      </w:r>
    </w:p>
    <w:p>
      <w:r>
        <w:t>a)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CHF 50.- et CHF 50'000.- (art. 1 Tarif JA). b) En l'espèce, il se justifie de fixer les frais à charge du recourant à CHF 300.-. la Cour arrête: I. Impôt fédéral direct (604 2016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