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92 vom 30. Oktober 2017</w:t>
      </w:r>
    </w:p>
    <w:p>
      <w:r>
        <w:t>FR Kantonsgericht, 2017-10-30, FR</w:t>
      </w:r>
    </w:p>
    <w:p>
      <w:r>
        <w:rPr>
          <w:b/>
        </w:rPr>
        <w:t xml:space="preserve">Quelle: </w:t>
      </w:r>
      <w:r>
        <w:t>https://mcp.opencaselaw.ch/entscheid/fr_gerichte_604_2016_92</w:t>
      </w:r>
    </w:p>
    <w:p>
      <w:r>
        <w:t>FR: FR_GERICHTE 604 2016 92 du 30 octobre 2017</w:t>
      </w:r>
    </w:p>
    <w:p>
      <w:r>
        <w:t>IT: FR_GERICHTE 604 2016 92 del 30 ottobre 2017</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a) Le recours, posté le 21 juin 2016 contre une décision du 10 juin 2016,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w:t>
      </w:r>
    </w:p>
    <w:p>
      <w:r>
        <w:rPr>
          <w:b/>
        </w:rPr>
        <w:t>E. 6</w:t>
      </w:r>
    </w:p>
    <w:p>
      <w:r>
        <w:t>a) En droit cantonal harmonisé, l'art. 33 al. 2 LICD qui constitue un cas d'application de l'art. 26 LIFD (voir aussi art. 9 al. 1 et 3 LHID) prévoit également que le contribuable qui possède des immeubles privés peut déduire les frais nécessaires à leur entretien, les frais de remise en état d’immeubles acquis récemment, les primes d’assurances relatives à ces immeubles et les frais d’administration par des tiers. b) En l'espèce, pour l'impôt cantonal également, il importe de préciser que l'examen du présent recours sera limité à la période fiscale 2013, seule période en cause. Pour les périodes fiscales ultérieures, la conclusion tendant à la déduction des montants litigieux est irrecevable.</w:t>
      </w:r>
    </w:p>
    <w:p>
      <w:r>
        <w:t>Tribunal cantonal TC Page 8 de 8 604 2016 92/93 En présence de règles similaires, les considérants 3 à 5 concernant l'impôt fédéral direct peuvent être repris pour l'impôt cantonal. Il en résulte qu'au niveau cantonal également, l'autorité intimée était fondée à refuser toute déduction pour les dépenses litigieuses.</w:t>
      </w:r>
    </w:p>
    <w:p>
      <w:r>
        <w:rPr>
          <w:b/>
        </w:rPr>
        <w:t>E. 7</w:t>
      </w:r>
    </w:p>
    <w:p>
      <w:r>
        <w:t>a) Le recours formé en droit cantonal est lui aussi rejeté dans la mesure de sa recevabilité.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comme pour le recours formé en droit fédéral, il se justifie de fixer les frais à CHF 500.- et de les compenser avec l'avance de frais. la Cour arrête: I. Impôt fédéral direct (604 2016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