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130 vom 20. Dezember 2016</w:t>
      </w:r>
    </w:p>
    <w:p>
      <w:r>
        <w:t>FR Kantonsgericht, 2016-12-20, DE</w:t>
      </w:r>
    </w:p>
    <w:p>
      <w:r>
        <w:rPr>
          <w:b/>
        </w:rPr>
        <w:t xml:space="preserve">Quelle: </w:t>
      </w:r>
      <w:r>
        <w:t>https://mcp.opencaselaw.ch/entscheid/fr_gerichte_604_2016_130</w:t>
      </w:r>
    </w:p>
    <w:p>
      <w:r>
        <w:t>FR: FR_GERICHTE 604 2016 130 du 20 décembre 2016</w:t>
      </w:r>
    </w:p>
    <w:p>
      <w:r>
        <w:t>IT: FR_GERICHTE 604 2016 130 del 20 dicembre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Gemäss Art. 140 Abs. 1 des Bundesgesetzes vom 14. Dezember 1990 über die direkte Bundessteuer (DBG; SR 642.11) sowie Art. 180 Abs. 1 des Gesetzes vom 6. Juni 2000 über die Kantonssteuern (DStG; SGF 631.1) und Art. 50 Abs. 1 des Bundesgesetzes vom 14. Dezember 1990 über die Harmonisierung der direkten Steuern der Kantone und Gemeinden, (StHG; SR 642.14) sind Beschwerden gegen Einspracheentscheide der Veranlagungsbehörde innert dreissig Tagen einzureichen. Die Frist beginnt mit dem auf die Eröffnung folgenden Tage. Sie gilt als eingehalten, wenn die Beschwerde am letzten Tag der Frist bei der Veranlagungsbehörde eingelangt ist, den schweizerischen PTT-Betrieben oder einer schweizerischen diplomatischen oder konsularischen Vertretung im Ausland übergeben wurde. Fällt der letzte Tag auf einen Samstag, Sonntag oder staatlich anerkannten Feiertag, so läuft die Frist am nächstfolgenden Werktag ab (Art. 133 Abs. 1 in Verbindung mit Art. 140 Abs. 4 DBG; Art. 27 Abs. 1 und 2 sowie Art. 28 Abs. 1 des Gesetzes vom 23. Mai 1991 über die Verwaltungsrechtspflege, VRG, in Verbindung mit Art. 182 DStG). b) Die Eröffnung einer Verfügung ist eine empfangsbedürftige einseitige Rechtshandlung. Der Beweis für den Empfang der Verfügung obliegt der Amtsstelle, welche diese erlassen hat. Diese Beweislastverteilung folgt aus der allgemeinen Regel, wonach grundsätzlich derjenige das Vorhandensein einer behaupteten Tatsache zu beweisen hat, der aus ihr Rechte ableitet (Art. 8 ZGB). Es besteht hingegen keine Vorschrift, Verfügungen wie der vorliegend zur Diskussion ste- hende Einspracheentscheid dem Adressaten als eingeschriebene Sendung zuzustellen (vgl. Art. 116 Abs. 1 DBG). Eine solche Regelung wäre bei Massenverfügungen und -entscheiden unprakti- kabel und mit zu grossem Aufwand verbunden. Die Beweislastregelung hat jedoch zur Folge, dass die Behörde das Risiko des fehlenden Beweises trägt. Im Zweifel ist auf die Darstellung des Adressaten abzustellen, wenn die Zustellung nicht eingeschriebener Sendungen bestritten oder eine verspätete Eröffnung geltend gemacht wird. Denn die blosse Postaufgabe beweist nicht zwingend, dass (und wann) der Adressat die Sendung auch empfangen hat. Ein Fehler bei der Postzustellung liegt nicht derart ausserhalb jeder Wahrscheinlichkeit, dass mit dieser Möglichkeit nicht gerechnet werden müsste (vgl. BGE 105 III 43 sowie Urteil BGer vom 5. Juli 2000, StE 2001 B 93.6 Nr. 22; ZWEIFEL / CASANOVA, Schweizerisches Steuerverfahrensrecht, 2008, § 15 Rz. 48 mit weiteren Hinweisen). Es ist nicht zu verkennen, dass die dargelegte Regelung der Beweislast in</w:t>
      </w:r>
    </w:p>
    <w:p>
      <w:r>
        <w:t>Kantonsgericht KG Seite 4 von 7 Einzelfällen zu Missbräuchen führen könnte. Es empfiehlt sich daher in besonderen Fällen, die Verfügung ausnahmsweise eingeschrieben oder gegen Empfangsbestätigung zu versenden. Im Übrigen kann der Nachweis der Zustellung (bzw. ihr Zeitpunkt) freilich auch aufgrund von weiteren Indizien oder gestützt auf die gesamten Umstände erbracht werden. So kann sich etwa aus den eigenen Erklärungen oder dem Verhalten des Steuerpflichtigen ableiten lassen, dass und wann die Verfügung eröffnet worden ist (vgl. BGE 105 III 43 sowie das Urteil BGer 2C_637/2007 vom</w:t>
      </w:r>
    </w:p>
    <w:p>
      <w:r>
        <w:rPr>
          <w:b/>
        </w:rPr>
        <w:t>E. 4</w:t>
      </w:r>
    </w:p>
    <w:p>
      <w:r>
        <w:t>April 2008, RDAF 2008 II 197 Erw. 2.4.1 [in BGE 134 II 186 nicht veröffentlichte Erwägung]). c) Im vorliegenden Fall wurde der angefochtene Einspracheentscheid vom 24. März 2016 dem Beschwerdeführer mit Post vom 14. und 27. September 2016 nochmals eröffnet, nachdem dieser mit Schreiben vom 10. September 2016 geltend gemacht hatte, er habe ihn nie erhalten. Unter diesen Umständen ist im Zweifel davon auszugehen, dass die Vorinstanz die ursprüngliche Eröffnung des Einspracheentscheides nicht nachgewiesen hat, sodass mit der späteren nochmaligen Zustellung eine neue Beschwerdefrist zu laufen begann. Insofern ist die Beschwerde vom 10. Oktober 2016 als rechtzeitig zu betrachten. II. Direkte Bundessteuern (604 2016 130) 2. Der vorliegend angefochtene Entscheid betreffend die direkte Bundessteuer ist ein gestützt auf Art. 132 Abs. 3 DBG ergangener Nichteintretensentscheid. Gegenstand des vorliegenden Beschwerdeverfahrens kann daher einzig die Frage sein, ob die Vorinstanz die Einsprache zu Recht oder zu Unrecht als unzulässig betrachtet hat (vgl. Urteil BGer 2C_357/2013 vom</w:t>
      </w:r>
    </w:p>
    <w:p>
      <w:r>
        <w:rPr>
          <w:b/>
        </w:rPr>
        <w:t>E. 7</w:t>
      </w:r>
    </w:p>
    <w:p>
      <w:r>
        <w:t>Dem Ausgang des Verfahrens entsprechend sind die Kosten dem Beschwerdeführer aufzuerlegen (Art. 131 Abs. 1 VRG). Dabei gelangt der Tarif vom 17. Dezember 1991 der Verfahrenskosten und Entschädigungen in der Verwaltungsjustiz zur Anwendung (vgl. Art 146 f. VRG). Im vorliegenden Fall erscheint es angemessen, die Gerichtsgebühr auf CHF 300.- festzusetzen. Der Steuergerichtshof erkennt: I. Direkte Bundessteuern (604 2016 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