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72 vom 16. Dezember 2016</w:t>
      </w:r>
    </w:p>
    <w:p>
      <w:r>
        <w:t>FR Kantonsgericht, 2016-12-16, FR</w:t>
      </w:r>
    </w:p>
    <w:p>
      <w:r>
        <w:rPr>
          <w:b/>
        </w:rPr>
        <w:t xml:space="preserve">Quelle: </w:t>
      </w:r>
      <w:r>
        <w:t>https://mcp.opencaselaw.ch/entscheid/fr_gerichte_604_2015_72</w:t>
      </w:r>
    </w:p>
    <w:p>
      <w:r>
        <w:t>FR: FR_GERICHTE 604 2015 72 du 16 décembre 2016</w:t>
      </w:r>
    </w:p>
    <w:p>
      <w:r>
        <w:t>IT: FR_GERICHTE 604 2015 72 del 16 dicembre 2016</w:t>
      </w:r>
    </w:p>
    <w:p>
      <w:pPr>
        <w:pStyle w:val="Heading2"/>
      </w:pPr>
      <w:r>
        <w:t>Regeste</w:t>
      </w:r>
    </w:p>
    <w:p>
      <w:r>
        <w:t>Arrêt de la Cour fiscale du Tribunal cantonal | Steuerhinterziehung und Nachsteuer</w:t>
      </w:r>
    </w:p>
    <w:p>
      <w:pPr>
        <w:pStyle w:val="Heading2"/>
      </w:pPr>
      <w:r>
        <w:t>Erwägungen</w:t>
      </w:r>
    </w:p>
    <w:p>
      <w:r>
        <w:rPr>
          <w:b/>
        </w:rPr>
        <w:t>E. 0</w:t>
      </w:r>
    </w:p>
    <w:p>
      <w:r>
        <w:t>Impôt rappelé 1'071.90 525.60 1'597.50 123.60 73.00 196.60 Intérêts moratoires 63.60 15.45 Total 1'661.10 212.05 Concernant l'imposition des revenus versés par le canton de H.________, le Service cantonal des contributions a estimé qu'il s'agissait de jetons de présence comme le révélait l'analyse des certificats de salaire et donc de revenu imposable [ne donnant pas droit à déduction pour salaire accessoire]. Deux amendes CHF 500.- et de CHF 50.- ont été prononcées pour soustraction consommée sur une période de deux ans, respectivement, de l'impôt cantonal et de l'impôt fédéral direct à l'encontre de A.________ et B.________. Ces deux montants ont été répartis à raison de 50 % entre chacun des époux. B. Le 28 mars 2014, A.________ et B.________ ont formé réclamation en indiquant que le revenu du travail accompli pour la "Baurekurskommission" du canton de H.________ ne constituait pas des jetons de présence, que des amendes leur avaient été infligées pour soustraction alors qu'ils auraient pu exiger un loyer de la société pour les locaux mis à disposition à F.________ et décompter les frais effectifs pour le bâtiment, que le réviseur en charge de la taxation de la société leur avait assuré que la décision visant cette dernière n'avait pas d'incidence sur le chapitre privé et qu'il n'avait jamais été question d'amendes, la société n'ayant d'ailleurs pas dû en payer. Le Service cantonal des contributions a rejeté cette réclamation le 22 mai 2015. Dans une première partie traitant du rappel d'impôt, il a relevé, s'agissant des reprises sur les parts privées aux frais généraux et aux frais de déplacement et de représentation, que les contribuables ne les contestaient pas "vraiment" et que dans la mesure où ces forfaits (servant à couvrir les menus frais et à permettre au contribuable de ne pas avoir à conserver chaque ticket de caisse) étaient jugés</w:t>
      </w:r>
    </w:p>
    <w:p>
      <w:r>
        <w:t>Tribunal cantonal TC Page 4 de 23 excessifs, leur montant devant être considéré comme des frais privés de l'actionnaire non justifiés commercialement et donc repris pour le surplus au titre d'avantages appréciables en argent chez les actionnaires. Quant aux primes d'assurance-vie de CHF 256.- de même que la refacturation de matériaux de construction pour CHF 2'550.- (taux de change inférieur), le Service cantonal des contributions a relevé qu'il s'agissait bien de frais privés et que cela n'était pas contesté. En réponse aux contribuables qui mettaient en cause la reprise du salaire de la femme de ménage pour CHF 5'312.-, ainsi que les primes d'assurance du bâtiment privé (CHF 722.- en 2010 et CHF 790.- en 2011), en alléguant la mise à disposition de la société de locaux dans leur maison privée de F.________, le Service cantonal des contributions a fait valoir que celle-ci ne pouvait pas prendre à sa charge des frais de nettoyage de ces locaux dans la mesure où ceux-ci n'avaient pas été utilisés durant la période concernée, et qu'il s'agissait manifestement de charges non justifiées par l'usage commercial comme cela avait déjà été expliqué dans la décision sur réclamation du</w:t>
      </w:r>
    </w:p>
    <w:p>
      <w:r>
        <w:rPr>
          <w:b/>
        </w:rPr>
        <w:t>E. 9</w:t>
      </w:r>
    </w:p>
    <w:p>
      <w:r>
        <w:t>a) La réalisation des éléments objectifs de la soustraction suppose non seulement que les éléments repris - qui constituent des revenus imposables réalisés par les recourants - ont échappé à l'impôt (ce qui vient d'être confirmé), mais encore cela doit-il avoir été causé par la violation d'une obligation incombant aux recourants. Conformément à l'art. 154 al. 1 LICD, les autorités de taxation établissent les éléments de fait et de droit permettant une taxation complète et exacte, en collaboration avec le contribuable. A cet effet, elles peuvent en particulier ordonner des expertises, procéder à des inspections et examiner sur place les comptes et les pièces justificatives. Et la loi impose au contribuable des obligations de procédure déterminées, comme l’obligation de remplir la formule de déclaration d'impôt de manière conforme à la vérité et complète (art. 157 al. 2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et 42 LHID). b) En l'espèce, les recourants ont bénéficié d'avantages appréciables en argent qui ont échappé à l'impôt. Cela est dû au fait qu'en tant que directeurs de leur société, ils ont comptabilisé des dépenses privées alors que la loi n'autorise la déduction de charges que si elles sont justifiées par l'usage commercial, et qu'ils n'ont pas déclaré les avantages qu'ils se sont ainsi octroyés. S'ils voulaient davantage tirer profit de la société dont ils sont les actionnaires directeurs, ils auraient dû</w:t>
      </w:r>
    </w:p>
    <w:p>
      <w:r>
        <w:t>Tribunal cantonal TC Page 17 de 23 alors se verser des salaires plus élevés voire des dividendes, lesquels auraient plus difficilement échappé à l'impôt. L'on notera au demeurant qu'ils n'ont indiqué que partiellement les remboursements de frais dans leurs certificats de salaire: en 2010, seuls des forfaits de CHF 8'200.- pour frais de représentation y figurent, et en 2011, aucune allocation pour frais n'y est indiquée. Les recourants ont indûment diminué leur charge fiscale et les taxations pour l'impôt fédéral direct des périodes fiscales 2010 et 2011 sont entrées en force incomplètes. Partant, les conditions objectives de la soustraction sont remplies. Il reste à examiner si la condition subjective de la soustraction est elle aussi réalisée.</w:t>
      </w:r>
    </w:p>
    <w:p>
      <w:r>
        <w:rPr>
          <w:b/>
        </w:rPr>
        <w:t>E. 10</w:t>
      </w:r>
    </w:p>
    <w:p>
      <w:r>
        <w:t>a) L'art. 220 al. 1 LICD conditionne la responsabilité pénale du contribuable notamment à l'existence d'une faute intentionnelle ou d'une négligence, par référence à l'art. 12 du Code pénal suisse du 21 décembre 1937 (CP; RS 311.0) en application de l'art. 333 al. 1 CP (voir ATF 135 II 86 consid. 4.2). La condition subjective de la soustraction est réalisée lorsque le contribuable a agi de manière fautive. Selon la jurisprudence du Tribunal fédéral (RDAF 1989 p. 48), la culpabilité (faute) ainsi que la mesure de la peine (amende) doivent être analysées selon les principes du droit pénal, les amendes fiscales étant en effet de véritables sanctions de nature pénale (StE 1985 B 101.21 no 2; 1986 B 101.1 no 1). Le fait subjectif de la soustraction fiscale consommée présuppose l'intention ou la négligence. La notion de négligence de l'art. 175 LIFD (ayant le même contenu que la disposition de droit cantonal de l'art. 220 LICD) est identique à celle de l'art. 12 CP (voir ATF 135 II 86 consid. 4.3). S'agissant plus spécifiquement de la distinction entre intention et négligence, l'art. 12 al. 2 CP retient l'existence d'une intention lorsque l'auteur a agi avec conscience et volonté. Selon la jurisprudence, la preuve d'un comportement intentionnel doit être considérée comme apportée, en matière de soustraction fiscale, lorsqu'il est établi avec une sécurité suffisante que le contribuable était conscient que les informations qu'il avait données au fisc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Il y a dol éventuel lorsque l'auteur, en l'espèce le contribuable, envisage le résultat dommageable, mais agit néanmoins, même s'il ne le souhaite pas, parce qu'il s'en accommode au cas où il se produirait.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dommage (voir notamment arrêt TF 2A.607/2006 du 24 avril 2007 consid. 3.3). Enfin, la négligence est une faute non intentionnelle. Un contribuable agit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(art. 12 al. 3 CP). Si le contribuable a des doutes sur ses droits ou obligations, il doit faire en sorte de lever le doute ou, au moins, en informer l'autorité fiscale (voir ATF 135 II 86 consid. 4.3). b) En l'occurrence, l'autorité intimée a sanctionné le comportement des recourants en qualifiant la faute commise d'intentionnelle, ceux-ci ayant agi par dol éventuel. La Cour observe que l'ensemble des reprises opérées au titre de charges privées (consid. 7, salaire de leur femme</w:t>
      </w:r>
    </w:p>
    <w:p>
      <w:r>
        <w:t>Tribunal cantonal TC Page 18 de 23 de ménage, refacturation de matériaux de construction, prime d'assurance-vie et primes de l'assurance bâtiment) et de parts privées aux frais généraux (consid. 8, dentiste, vélo, amarrage et taxe portuaire, médecin, assurance Concordia, peinture, bétonnière, brouette, abonnement télécabine, appareil de sport Alder + Eisenhut, gravier et moellons, Kunstmuseum Bern, Zentrum Paul Klee etc.) constituent des dépenses privées que les recourants n'avaient pas à faire figurer dans les comptes de leur société. Au vu de la nature de ces frais, leur comptabilisation dans la société relève de la soustraction intentionnelle. L'élément subjectif de la soustraction est en effet réalisé en l'espèce dès lors que les recourants ont compté sur le fait qu'il n'y aurait pas de révision de la comptabilité de leur société, et donc pas de reprises de leurs charges privées imposables dans leur chapitre personnel au titre d'avantages appréciables en argent non déclarés. S'agissant des reprises sur les remboursements de frais de déplacement et de représentation (consid. 6) en revanche, l'on ne saurait retenir que les recourants étaient conscients du caractère excessif des forfaits comptabilisés. Il convient de considérer en effet que dans la taxation précédente, l'autorité intimée avait admis des montants identiques à ceux comptabilisés pour les périodes fiscales litigieuses et des sommes assez proches dans les taxations antérieures. Lors de l'audition du 24 novembre 2016, dite autorité a confirmé que les charges comptabilisées dans la société au titre de frais de représentation et admises en taxation se sont élevées à CHF 8'200.- en 2009, CHF 8000.- en 2008 et CHF 7'500.- en 2007, les forfaits pour frais de déplacement étant admis à hauteur de CHF 1'200.- en 2009, CHF 1'200.- en 2008 et CHF 1'100.- en 2007. De plus, les frais de représentation comptabilisés en 2009 à hauteur de CHF 16'738.33 se composaient eux aussi d'une part non forfaitaire en plus des deux fois CHF 8'200.- de forfaits et ces derniers avaient été admis sans restriction. Dans ces circonstances, la preuve que les recourants étaient conscients du caractère incorrect des forfaits comptabilisées semble difficile à établir. De plus, la fixation des forfaits relève d'une question d'appréciation (voir TORRIONE, p. 951 ss, 1152), de sorte que le caractère intentionnel de leur seule comptabilisation excessive à des fins de soustraction fiscale est discutable. Et si l'on examine le comportement des recourants sous l'angle de la négligence, il n'apparaît pas que la comptabilisation des forfaits litigieux auraient dû les amener à se renseigner au préalable auprès du fisc alors qu'ils reportaient un montant identique à celui admis lors de la période fiscale précédente. Par conséquent, seule la non-déclaration des avantages appréciables en argent provenant des reprises de charges privées et des reprises opérées sur les parts privées aux frais généraux est constitutive d'une soustraction d'impôt. La non-déclaration des avantages appréciables en argent provenant de la reprise sur les forfaits excessifs doit donner lieu, quant à elle, à un rappel d'impôt uniquement, faute de preuve d'un comportement intentionnel ou négligent. La qualification des faits reprochés aux recourants ayant été examinée, il reste à vérifier la quotité de l'amende prononcée à leur encontre.</w:t>
      </w:r>
    </w:p>
    <w:p>
      <w:r>
        <w:rPr>
          <w:b/>
        </w:rPr>
        <w:t>E. 11</w:t>
      </w:r>
    </w:p>
    <w:p>
      <w:r>
        <w:t>a) Les amendes fiscales sont de véritables sanctions de nature pénale, de telle sorte que la culpabilité et la mesure de la peine doivent être analysées selon les principes du droit pénal (voir SIEBER in Commentaire romand, Impôt fédéral direct, 2008, art. 175 n. 39 et les références citées; SANSONETTI, ad art. 175 n. 3, également applicable en droit cantonal s'agissant de droit harmonisé). Elles ont un caractère strictement personnel (ATF 134 III 59 consid. 2.3.2). b) Conformément à l'art. 2 du code pénal suisse du 21 décembre 1937 (CP; RS 311.0), qui n'a pas été modifié par l'entrée en vigueur le 1er janvier 2007 de la nouvelle partie générale du code pénal, l'amende sanctionnant une soustraction d'impôt doit être fixée selon les dispositions en vigueur au moment où l'infraction a été commise, à moins que le nouveau droit en vigueur au</w:t>
      </w:r>
    </w:p>
    <w:p>
      <w:r>
        <w:t>Tribunal cantonal TC Page 19 de 23 moment du jugement s'avère plus favorable dans son application concrète (principe de la loi la plus favorable ou de la "lex mitior"; sur cette question, voir RIKLIN, Revision des Allgemeinen Teils des Strafgesetzbuches: Fragen des Übergangsrechts, in PJA 2006 1471 ss). c) Selon l'art. 47 CP, applicable aux contraventions par renvoi des art. 104 et 333 al. 1 CP, le juge fixe la peine d'après la culpabilité de l'auteur. Il prend en considération les antécédents et la situation personnelle de ce dernier ainsi que l'effet de la peine sur son avenir (al. 1). L'al. 2 de la disposition précise que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est en premier lieu déterminée par la gravité objective de l'acte, laquelle s'apprécie principalement au regard du résultat de l'infraction. Cela est notamment le cas en matière d'infractions contre le patrimoine. Cette gravité objective est déjà prise en considération par le législateur lorsqu'il détermine la peine légale, tandis que les art. 47 CP et 106 al. 3 CP imposent au juge de tenir compte de l'aspect subjectif de l'acte (voir - sous l'ancien droit déjà - MONTI, p. 75 et les références citées). Pour le cas de la soustraction fiscale, cela signifie que la gravité objective de l'acte est déjà prise en considération par la règle générale selon laquelle l'amende est fixée au montant de l'impôt soustrait (art. 220 al. 2 phr. 1 LICD) et qu'il appartient au juge de moduler cette peine en tenant compte de la gravité subjective de l'acte (faute légère ou faute grave au sens de l'art. 220 al. 2 phr. 2 LICD). Lorsque la peine est une amende, l'art. 106 al. 3 CP précise que le juge fixe celle-ci en tenant compte de la situation de l'auteur afin que la peine corresponde à la faute commise. La perte à subir par l'auteur doit constituer une peine correspondant à la culpabilité, en tenant compte notamment des éléments suivants: revenu et fortune, état civil et charges de famille, profession et gain professionnel, âge et état de santé. Il s'agit en effet d'éviter que l'amende ne frappe plus lourdement les personnes économiquement faibles (voir - sous l'ancien droit déjà - ATF 114 Ib 27). d) Selon la doctrine et la jurisprudence, l'expression "en règle générale" contenue à l'art. 175 al. 2 phr. 1 LIFD (identique à la disposition de droit cantonal de l'art. 220 al. 2 phr. 1 LICD) vise le cas où la soustraction a été commise intentionnellement, en l'absence de circonstances aggravantes ou atténuantes. Il en résulte que lorsque la soustraction a été commise par négligence, la faute doit être considérée comme légère, en tout cas en l'absence de circonstances aggravantes (voir SIEBER, n. 45 ad art. 175 LIFD, et les références citées; MONTI, p. 69 s.). Les autres éléments qui peuvent conduire à une réduction de l'amende pour faute légère sont les circonstances atténuantes énumérées à l'art. 48 CP, parmi lesquelles figure le fait que l'auteur ait manifesté par des actes un repentir sincère, notamment en réparant le dommage autant qu’on pouvait l’attendre de lui. En matière de soustraction fiscale, on y ajoute le cas où le contrevenant coopère à l'établissement des faits. Quant aux circonstances aggravantes qui permettraient d'augmenter l'amende prévue comme règle générale par l'art. 175 al. 2 phr. 1 LIFD (identique à la disposition de droit cantonal de l'art. 220 al. 2 phr. 1 LICD), elles comprennent principalement la récidive et le comportement réticent du contribuable à l'égard des autorités, voire le fait que le contribuable dispose de compétences fiscales particulières (voir SANSONETTI, n. 3 ad art. 175; SIEBER, n. 47 ad art. 175 LIFD; MONTI, p. 70 s.; Circulaire no 21 du 7 avril 1995 de l'Administration fédérale des contributions concernant le droit de rappel d'impôt et le droit pénal fiscal dans la loi sur l'impôt fédéral direct, p. 16). En tout cas, la proportion du montant de l'amende suggérée par l'art. 175 LIFD (équivalant à l'art. 220 LICD) ne saurait être appliquée de manière purement schématique (ATF 134 III 59 consid. 2.3.1).</w:t>
      </w:r>
    </w:p>
    <w:p>
      <w:r>
        <w:t>Tribunal cantonal TC Page 20 de 23 e) Dans le cas d'espèce, l'autorité intimée a fixé l'amende à 30% des impôts soustraits, ce qui correspond au minimum prévu par l'art. 220 al. 2 LICD en cas de faute légère. Cette amende s'avère peu sévère au regard de la faute qui a été qualifiée d'intentionnelle et non pas de négligence. Le fait que les recourants ne se sont rendus coupables de soustraction que pour une partie des reprises constitutives d'avantages appréciables en argent non déclarés se trouve contrebalancé par l'intensité de la faute retenue par la Cour. Les recourants jouissent tous deux d'une bonne santé, n'ont pas de difficultés financières, et n'ont pas de personne à charge. Au vu du montant de l'impôt objet de la soustraction et du caractère de l'infraction commise intentionnellement, il y a lieu de confirmer l'amende dans son principe, laquelle doit être fixée à CHF 500.-, étant rappelé que la non imposition des avantages provenant des reprises sur les forfaits excessifs (en 2010, environ 1/3 des CHF 10'370.- repris y c. imposition partielle dividendes et en 2011, environ 2/3 des CHF 5'845.- repris) donne lieu uniquement à un rappel d'impôt.</w:t>
      </w:r>
    </w:p>
    <w:p>
      <w:r>
        <w:rPr>
          <w:b/>
        </w:rPr>
        <w:t>E. 12</w:t>
      </w:r>
    </w:p>
    <w:p>
      <w:r>
        <w:t>a) Les recourants requièrent encore la révision de leurs taxations 2010 et 2011 afin que les primes d'assurance de leur immeuble de F.________ ayant fait l'objet d'une reprise, puis donné lieu à une imposition à leur chapitre personnel, soient déduites de leur revenu par le biais d'une révision de leurs taxations. Ils soutiennent que l'exigence du fisc "que ces primes d'assurance soient payées à titre privé constitue un fait important nouveau qui permet une révision des taxations privées". Dans ses observations, l'autorité intimée relève que les contribuables ont fait valoir la déduction des frais d'immeubles selon le système des frais forfaitaires, à savoir 10 % de la valeur locative (CHF 785.- pour chacune des périodes 2010 et 2011), et qu'il n'appartient pas au fisc de choisir entre les frais forfaitaires et d'éventuels frais effectifs suivant les montants invoqués. L'art. 188 al. 1 LICD (voir aussi art. 51 al. 1 LHID) dispose qu'une décision ou un prononcé entré en force peut être révisé en faveur du contribuable, à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La révision est exclue lorsque le requérant a invoqué des motifs qu'il aurait déjà pu faire valoir au cours de la procédure ordinaire s'il avait fait preuve de toute la diligence qui pouvait raisonnablement être exigée de lui (art. 188 al. 2 LICD et 51 al. 2 LHID). En l'espèce, il apparaît que le choix des recourants de revendiquer dans leur déclaration d'impôt, non pas la déduction de leurs frais d'entretien d'immeuble effectifs mais la déduction forfaitaire de ces frais comme les y autorise l'art. 33 al. 2 et 4 LICD est indépendant du traitement fiscal réservé aux primes d'assurance de leur immeuble privé. La déduction des frais effectifs qu'ils auraient pu revendiquer durant la procédure ordinaire - indépendamment des primes d'assurance mises à charge de la société - était déjà supérieure à la déduction forfaitaire de CHF 785.- par an requise à l'époque. Si l'on considère en effet qu'ils évaluent la déduction de leurs frais effectifs à CHF 2'233.60 pour 2010 et CHF 4'056.60 en 2011 primes d'assurance comprises (CHF 722.- en 2010 et de CHF 790.- en 2011), les frais effectifs qu'ils auraient pu faire valoir en déduction - avant même la reprise des primes d'assurance dans le chapitre de la société - étaient donc plus élevés que la déduction forfaitaire de CHF 785.- par an (CHF 1'511.60 en 2010 et CHF 3'266.60 en 2011). Ils auraient donc dû choisir la déduction des frais d'entretien effectifs et ils ne peuvent s'en prendre qu'à eux-mêmes s'ils y ont renoncé. Par conséquent, l'on ne saurait voir dans la reprise des primes d'assurance de l'immeuble privé, et l'imposition de cet avantage au chapitre des recourants, un fait nouveau autorisant la révision de leur taxation aux fins d'augmenter la déduction des frais d'entretien d'immeuble. Le recours est rejeté sur ce point.</w:t>
      </w:r>
    </w:p>
    <w:p>
      <w:r>
        <w:t>Tribunal cantonal TC Page 21 de 23 b) Les recourants ont également requis la révision de leurs taxations afin que les montants versés par la "Baurekurskommission" du canton de H.________ (CHF 500.- en 2010 et CHF 750.- en 2011) soient imposés en tant que salaire accessoire [avec la déduction à laquelle cette imposition donne droit]. L'autorité intimée a proposé dans ses ultimes remarques d'accepter cette conclusion. En l'occurrence, les recourants auraient pu contester leurs taxations par le bais de la procédure ordinaire de réclamation de sorte que la révision est exclue. L'on relèvera au demeurant que selon les certificats de salaire établis par service du personnel du canton de H.________, les sommes précitées ont été versées non pas en tant que prestations salariées accessoires (ch. 2 du certificat de salaire) mais comme indemnités des membres de l'administration (ch. 5) avec la remarque suivante: "15. Observations: Sitzungsgeld Kommissionen …; Stundenlohn". Il s'agit là manifestement de jetons de présence versés pour des séances de commissions en application des instructions du canton de H.________ concernant l'octroi de jetons de présence (Weisung betreffend Ausrichtung von Sitzungsgeldern du 5 février 2002: SR 153.115), et non pas d'une activité salariée accessoire donnant droit à déduction sous le code 2.140. Par conséquent, les jetons de présence de CHF 500.- en 2010 et CHF 750.- en 2011 ont été correctement imposés de sorte que les taxations doivent être maintenues. Il n'est pas donné suite à la proposition de l'autorité intimée. Le recours est donc rejeté sur ce point également.</w:t>
      </w:r>
    </w:p>
    <w:p>
      <w:r>
        <w:rPr>
          <w:b/>
        </w:rPr>
        <w:t>E. 13</w:t>
      </w:r>
    </w:p>
    <w:p>
      <w:r>
        <w:t>a) Au vu de ce qui précède, le recours formé en droit cantonal est rejeté.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compte tenu du travail requis et du rejet du recours, il se justifie de fixer les frais à CHF 1'000.-. II. Impôt fédéral direct (604 2015 72)</w:t>
      </w:r>
    </w:p>
    <w:p>
      <w:r>
        <w:rPr>
          <w:b/>
        </w:rPr>
        <w:t>E. 14</w:t>
      </w:r>
    </w:p>
    <w:p>
      <w:r>
        <w:t>Le recours, déposé le 26 juin 2015 contre une décision du 22 mai 2015, l’a été dans le délai et les formes prévus aux art. 140 ss de la loi du 14 décembre 1990 sur l'impôt fédéral direct (LIFD; RS 642.11), et l'avance des frais de procédure a été déposée en temps utile. Partant, il est recevable s’agissant de l’impôt fédéral direct.</w:t>
      </w:r>
    </w:p>
    <w:p>
      <w:r>
        <w:rPr>
          <w:b/>
        </w:rPr>
        <w:t>E. 15</w:t>
      </w:r>
    </w:p>
    <w:p>
      <w:r>
        <w:t>a) En droit fédéral également l'art. 183 al. 1 LIFD dispose que l'ouverture d'une procédure pénale pour soustraction d'impôt est communiquée par écrit à la personne concernée, cette dernière étant invitée à s'exprimer sur les griefs retenus à son encontre et informée de son droit de refuser de déposer et de collaborer. Il s'ensuit que, comme en droit fédéral, les recourants ont bien été avisés de l'ouverture de la procédure de soustraction à leur encontre. b) Quant au principe de la bonne foi, il s'applique aussi en droit fédéral. Pour les mêmes raisons que celles développées sous le considérant 3b, les recourants ne peuvent pas se prévaloir d'une assurance donnée par le réviseur qui ne les aurait pas avertis de l'amende qu'ils encouraient et les auraient amenés à ne pas recourir contre la décision sur réclamation notifiée à leur société.</w:t>
      </w:r>
    </w:p>
    <w:p>
      <w:r>
        <w:rPr>
          <w:b/>
        </w:rPr>
        <w:t>E. 16</w:t>
      </w:r>
    </w:p>
    <w:p>
      <w:r>
        <w:t>a) Sous le titre "Soustraction consommée", l'art. 175 LIFD reprend textuellement le contenu de l'art. 220 LICD, de sorte que cette disposition de droit fédéral harmonisé doit être interprétée et appliquée dans le même sens que les règles de droit cantonal présentées auparavant. En ce qui concerne la responsabilité des époux en cas de soustraction, l'art. 180 LIFD a lui aussi la même</w:t>
      </w:r>
    </w:p>
    <w:p>
      <w:r>
        <w:t>Tribunal cantonal TC Page 22 de 23 teneur que l'art. 225 LICD. Enfin, la procédure de soustraction est notamment réglée par les art. 182 s. LIFD. L'art. 183 al. 1bis LIFD prévoit également que les moyens de preuve rassemblés dans le cadre de la procédure en rappel d’impôt ne peuvent être utilisés dans la procédure pénale pour soustraction d’impôt que s’ils n’ont été rassemblés ni sous la menace d’une taxation d’office (art. 130 al. 2 LIFD) avec inversion du fardeau de la preuve au sens de l’art. 132 al. 3 LIFD, ni sous la menace d’une amende en cas de violation d’une obligation de procédure. b) Comme en droit cantonal, les conditions de la soustraction d'impôt supposent que soient réalisés deux éléments objectifs, et un élément subjectif. La réalisation des éléments objectifs de la soustraction fiscale suppose que les montants non déclarés constituent des éléments imposables (art. 20 al. 1 let. c LIFD). De même, l'art. 123 al. 1 LIFD dispose que les autorités de taxation établissent les éléments de fait et de droit permettant une taxation complète et exacte, en collaboration avec le contribuable. L'art. 124 al. 2 LIFD impose au contribuable des obligations de procédure déterminées, comme l’obligation de remplir la formule de déclaration d'impôt de manière conforme à la vérité et complète.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126 al. 1 et 2 LIFD). Et les considérations émises sur la réalisation de la condition subjective de la soustraction en droit fédéral valent également en droit cantonal. Enfin, en droit fédéral également, les dispositions générales du droit pénal s’appliquent à la détermination du montant de l’amende. c) Il en résulte que, pour l'impôt fédéral direct également, les avantages appréciables en argent que les recourants ont obtenus en 2010 et en 2011 ont échappé à l'impôt, parce que ceux-ci ont indûment comptabilisé dans les charges de leur société des dépenses privées qui n'avaient pas à y figurer et qu'ils n'ont pas déclaré avoir bénéficié de ces avantages. Comme en droit cantonal, l'élément subjectif de la soustraction est réalisé et l'amende fiscale est maintenue dans son principe. Même si la non imposition des avantages provenant des reprises sur les forfaits excessifs doit donner lieu uniquement à un rappel d'impôt, comme pour l'impôt cantonal, ce fait est contrebalancé par l'intensité de la faute retenue par la Cour. Pour cette raison et parce qu'il s'agit d'un faible montant, l'amende sera maintenue à CHF 50.-.</w:t>
      </w:r>
    </w:p>
    <w:p>
      <w:r>
        <w:rPr>
          <w:b/>
        </w:rPr>
        <w:t>E. 17</w:t>
      </w:r>
    </w:p>
    <w:p>
      <w:r>
        <w:t>Enfin, au niveau fédéral aussi, la révision des taxations doit être refusée pour les mêmes raisons qu'en droit cantonal, les art. 147 al. 1 et 2 LIFD et 188 al. 1 et 2 LICD ayant un contenu identique tout comme les art. 32 al. 2 et 4 LIFD et 33 al. 2 et 4 LICD.</w:t>
      </w:r>
    </w:p>
    <w:p>
      <w:r>
        <w:rPr>
          <w:b/>
        </w:rPr>
        <w:t>E. 18</w:t>
      </w:r>
    </w:p>
    <w:p>
      <w:r>
        <w:t>a) Au vu de ce qui précède, le recours est rejeté. b)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fribourgeois du 17 décembre 1991 des frais de procédure et des indemnités en matière de juridiction administrative: RSF 150.12; Tarif JA). Il peut être compris entre CHF 100.- et CHF 50'000.- (art. 1 Tarif JA). En l'espèce, comme pour le recours formé en droit cantonal, il se justifie de fixer un émolument de CHF 1'000.-.</w:t>
      </w:r>
    </w:p>
    <w:p>
      <w:r>
        <w:t>Tribunal cantonal TC Page 23 de 23 la Cour arrête: I. Impôt cantonal (604 2015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