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58 vom 28. September 2016</w:t>
      </w:r>
    </w:p>
    <w:p>
      <w:r>
        <w:t>FR Kantonsgericht, 2016-09-28, FR</w:t>
      </w:r>
    </w:p>
    <w:p>
      <w:r>
        <w:rPr>
          <w:b/>
        </w:rPr>
        <w:t xml:space="preserve">Quelle: </w:t>
      </w:r>
      <w:r>
        <w:t>https://mcp.opencaselaw.ch/entscheid/fr_gerichte_604_2015_58</w:t>
      </w:r>
    </w:p>
    <w:p>
      <w:r>
        <w:t>FR: FR_GERICHTE 604 2015 58 du 28 septembre 2016</w:t>
      </w:r>
    </w:p>
    <w:p>
      <w:r>
        <w:t>IT: FR_GERICHTE 604 2015 58 del 28 settembre 2016</w:t>
      </w:r>
    </w:p>
    <w:p>
      <w:pPr>
        <w:pStyle w:val="Heading2"/>
      </w:pPr>
      <w:r>
        <w:t>Regeste</w:t>
      </w:r>
    </w:p>
    <w:p>
      <w:r>
        <w:t>Arrêt de la Cour fiscale du Tribunal cantonal | Einkommens- und Vermögenssteuer der natürlichen Personen</w:t>
      </w:r>
    </w:p>
    <w:p>
      <w:pPr>
        <w:pStyle w:val="Heading2"/>
      </w:pPr>
      <w:r>
        <w:t>Erwägungen</w:t>
      </w:r>
    </w:p>
    <w:p>
      <w:r>
        <w:rPr>
          <w:b/>
        </w:rPr>
        <w:t>E. 3</w:t>
      </w:r>
    </w:p>
    <w:p>
      <w:r>
        <w:t>a) Il ressort du dossier que l'autorité intimée n'a pas choisi la procédure formelle d'une taxation d'office impliquant un renversement du fardeau de la preuve, mais elle a notifié une taxation ordinaire avec, pour corollaire, le fait que c'est à l'autorité fiscale qu'il appartient d'apporter la preuve des éléments imposables. Dès lors, la Cour fiscale examinera les éléments imposables retenus en procédure de taxation et confirmés par la décision sur réclamation avec pleine cognition, selon les règles ordinaires, sans qu'il appartienne au contribuable de prouver le caractère manifestement inexact de la taxation. b) En l'espèce, l'avis de taxation litigieux précise expressément que le montant de CHF 293'750.- ici en cause est imposé en application de l'art. 164 al. 2 de la loi fribourgeoise du</w:t>
      </w:r>
    </w:p>
    <w:p>
      <w:r>
        <w:rPr>
          <w:b/>
        </w:rPr>
        <w:t>E. 6</w:t>
      </w:r>
    </w:p>
    <w:p>
      <w:r>
        <w:t>a) Au niveau cantonal également, les autorités de taxation établissent les éléments de fait et de droit permettant une taxation complète et exacte, en collaboration avec le contribuable (154 al. 1 LICD). A cet effet, la loi fiscale fédérale impose au contribuable des obligations de procédures déterminées, notamment l’obligation pour les personnes physiques de joindre à leur déclaration entre autres annexes l'état complet des titres et des créances ainsi que celui des dettes (art. 158 al. 1 let. c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et 42 al. 1 et 2 LHID). De même,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(art. 176 al. 3 LICD et 48 al. 2 LHID). b) En l'espèce, conformément à ce qui a été retenu pour l'impôt fédéral direct, la décision attaquée ne remplit pas les conditions formelles d'une taxation d'office (voir ci-dessus, consid. 2c). Ce sont dès lors les règles concernant les taxations ordinaires qui s'appliquent, s'agissant notamment de la cognition de la Cour fiscale et de la répartition du fardeau de la preuve. c) En présence de règles similaires, les considérants développés ci-dessus peuvent être transposées en droit cantonal. Pour les mêmes motifs que ceux invoqués en matière d'impôt fédéral direct, il se justifie d'admettre partiellement le recours déposé en matière d'impôt cantonal.</w:t>
      </w:r>
    </w:p>
    <w:p>
      <w:r>
        <w:rPr>
          <w:b/>
        </w:rPr>
        <w:t>E. 7</w:t>
      </w:r>
    </w:p>
    <w:p>
      <w:r>
        <w:t>a) La décision attaquée est annulée et le dossier est renvoyé à l'autorité intimée pour nouvelle décision dans le sens des considérants.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un émolument de CHF 500.-.</w:t>
      </w:r>
    </w:p>
    <w:p>
      <w:r>
        <w:t>Tribunal cantonal TC Page 8 de 8 la Cour arrête: I. Impôt fédéral direct (604 2015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