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39 vom 26. September 2016</w:t>
      </w:r>
    </w:p>
    <w:p>
      <w:r>
        <w:t>FR Kantonsgericht, 2016-09-26, FR</w:t>
      </w:r>
    </w:p>
    <w:p>
      <w:r>
        <w:rPr>
          <w:b/>
        </w:rPr>
        <w:t xml:space="preserve">Quelle: </w:t>
      </w:r>
      <w:r>
        <w:t>https://mcp.opencaselaw.ch/entscheid/fr_gerichte_604_2015_39</w:t>
      </w:r>
    </w:p>
    <w:p>
      <w:r>
        <w:t>FR: FR_GERICHTE 604 2015 39 du 26 septembre 2016</w:t>
      </w:r>
    </w:p>
    <w:p>
      <w:r>
        <w:t>IT: FR_GERICHTE 604 2015 39 del 26 settembre 2016</w:t>
      </w:r>
    </w:p>
    <w:p>
      <w:pPr>
        <w:pStyle w:val="Heading2"/>
      </w:pPr>
      <w:r>
        <w:t>Regeste</w:t>
      </w:r>
    </w:p>
    <w:p>
      <w:r>
        <w:t>Arrêt de la Cour fiscale du Tribunal cantonal | Verrechnungssteuer</w:t>
      </w:r>
    </w:p>
    <w:p>
      <w:pPr>
        <w:pStyle w:val="Heading2"/>
      </w:pPr>
      <w:r>
        <w:t>Erwägungen</w:t>
      </w:r>
    </w:p>
    <w:p>
      <w:r>
        <w:rPr>
          <w:b/>
        </w:rPr>
        <w:t>E. 7</w:t>
      </w:r>
    </w:p>
    <w:p>
      <w:r>
        <w:t>juillet 2015. en droit 1. 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b) Dans le canton de Fribourg, les recours en matière d'impôt anticipé sont du ressort du Tribunal cantonal (voir art. 7 al. 2 de l'arrêté fribourgeois du 13 février 2001 d'exécution de la loi fédérale sur l'impôt anticipé: l'arrêté d'exécution; RSF 634.2.11). L'art. 8 de l'arrêté d'exécution prévoit que la procédure est régie par la législation fédérale ou, lorsque la décision de remboursement a été liée à une décision de taxation, par l’application analogique des dispositions de la loi fribourgeoise du 6 juin 2000 sur les impôts cantonaux directs (LICD; RSF 631.1) relatives aux voies de droit, à l’exception de celles qui concernent la réclamation et le recours de la commune. Au surplus, le code fribourgeois du 23 mai 1991 de procédure et de juridiction administrative (CPJA; RSF 150.1) est applicable. 2. a) Selon l'art. 57 LIA, les cantons adressent à la Confédération un relevé des montants d'impôt anticipé qu'ils ont remboursés (al. 1). L'Administration fédérale des contributions contrôle les relevés des cantons; à cet effet, elle peut consulter toutes pièces utiles auprès des cantons, districts, cercles et communes et ordonner, dans des cas particuliers, d'autres mesures d'enquête ou faire elle-même usage des pouvoirs d'enquête d'un office cantonal de l'impôt anticipé (al. 2). Si le contrôle révèle que le remboursement a été accordé à tort par l'office cantonal de l'impôt anticipé, l'Administration fédérale des contributions ordonne, à titre provisoire, une réduction correspondante du montant réclamé par le canton dans un de ses prochains relevés (al. 3). b) Aux termes de l'art. 58 al. 1 LIA, si une réduction à titre provisoire a été ordonnée, conformément à l'art. 57 al. 3 LIA,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 L'art. 5 al. 2 phr. 1 de l'arrêté d'exécution dispose que l’impôt anticipé est imputé en premier lieu sur l’impôt cantonal dû pour l’année fiscale dans laquelle la demande de remboursement est déposée. 3. a) En l'espèce, même si la décision attaquée n'est pas une décision sur réclamation, elle peut faire l'objet d'un recours devant le Tribunal cantonal, en application de l'art. 58 al. 2 LIA qui prévoit cette voie de droit directe. Cela étant, dans ses contre-observations du 4 juillet 2016, la recourante ne met plus en cause la restitution de l'impôt anticipé. La Cour fiscale n'a donc pas à examiner cette question. La recourante maintient en revanche sa conclusion subsidiaire tendant à la modification de sa taxation ordinaire pour l'année fiscale 2011. Dans la mesure où dite taxation est entrée en force, cette requête ne peut que prendre la forme d'une demande de révision. Ce</w:t>
      </w:r>
    </w:p>
    <w:p>
      <w:r>
        <w:t>Tribunal cantonal TC Page 4 de 4 sont donc les règles relatives à l'impôt fédéral direct et à l'impôt cantonal sur le revenu et la fortune qui sont applicables. Or tant l'art. 149 al. 1 de la loi du 14 décembre 1990 sur l'impôt fédéral direct (LIFD; RS 642.11), que les art. 51 al. 4 de la loi sur l'harmonisation des impôts directs des cantons et des communes du 14 décembre 199 (LHID; RS 642.14) et 190 al. 1 LICD prévoient que la révision d'une décision ou d'un prononcé est de la compétence de l'autorité qui a rendu cette décision ou ce prononcé. En l'occurrence, la décision dont la révision est requise par la recourante est une taxation établie par l'autorité intimée. Il appartient donc à cette autorité de se prononcer et non pas à la Cour fiscale. Il s'ensuit que le recours, tel que limité à ses conclusions subsidiaires, est irrecevable. b) En application de l'art. 16 CPJA, le dossier est transmis à l'autorité intimée comme objet de sa compétence. 4. 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Tarif JA; RSF 150.12). Il peut être compris entre CHF 50.- et CHF 50'000.- (art. 1 Tarif JA). b) En l'espèce, il se justifie de fixer les frais à CHF 500.-. la Cour arrête: I. Le recours est irrecevable. Le dossier est transmis à l'autorité intimée comme objet de sa compétence. II. Un émolument de CHF 500.- est mis à la charge de la recourante au titre de frais de justice. Il est compensé par l'avance de frais. III. Communication.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26 septembre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