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8 vom 26. Januar 2015</w:t>
      </w:r>
    </w:p>
    <w:p>
      <w:r>
        <w:t>FR Kantonsgericht, 2015-01-26, DE</w:t>
      </w:r>
    </w:p>
    <w:p>
      <w:r>
        <w:rPr>
          <w:b/>
        </w:rPr>
        <w:t xml:space="preserve">Quelle: </w:t>
      </w:r>
      <w:r>
        <w:t>https://mcp.opencaselaw.ch/entscheid/fr_gerichte_604_2014_8</w:t>
      </w:r>
    </w:p>
    <w:p>
      <w:r>
        <w:t>FR: FR_GERICHTE 604 2014 8 du 26 janvier 2015</w:t>
      </w:r>
    </w:p>
    <w:p>
      <w:r>
        <w:t>IT: FR_GERICHTE 604 2014 8 del 26 gennaio 2015</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32 Abs. 2 des Bundesgesetzes vom 14. Dezember 1990 über die direkte Bundessteuer (DBG; SR 642.11) können bei Liegenschaften im Privatvermögen insbesondere die Unterhaltskosten abgezogen werden. Die entsprechenden Ausführungsvorschriften sind in der Verordnung des Schweizerischen Bundesrats (vom 24. August 1992) über den Abzug der Kosten von Liegenschaften des Privatvermögens bei der direkten Bundessteuer (SR 642.116) enthalten. Die Kantonale Steuerverwaltung, welche auch als kantonale Verwaltung für die direkte Bundes- steuer bestimmt wurde (Art. 1 des Ausführungsbeschlusses vom 5. Januar 1995 zum Bundesge- setzes über die direkte Bundessteuer, SGF 634.1.11), verfügt zudem über ein "Besonderes Merk- blatt für den tatsächlichen Kostenabzug bei Privatliegenschaften sowie für Investitionen, die dem Energiesparen und dem Umweltschutz dienen" (vom Januar 2012; nachfolgend Merkblatt), wel- ches den Steuerpflichtigen abgegeben wird. Dieses soll der einheitlichen Rechtsanwendung (so- wohl im Bereich der direkten Bundesteuer als auch der Kantonssteuer) dienen. Es enthält nebst den allgemeinen Grundsätzen insbesondere einen ausführlichen Ausscheidungskatalog über die Abgrenzung der abziehbaren Unterhalts-, Energiespar- und Umweltschutzkosten von den (nicht abziehbaren) wertvermehrenden Aufwendungen und anderen Kosten. Die steuerlich zu berücksichtigenden Gewinnungskosten sind einerseits von den Lebenshaltungs- kosten und andererseits von den Anlagekosten (Aufwendungen für die Anschaffung, Herstellung oder Wertvermehrung von Vermögensgegenständen, Art. 34 lit. d DBG) abzugrenzen. Im Gegen- satz zu den wertvermehrenden Aufwendungen besteht der besondere Charakter der abzugsfä- higen Unterhaltskosten darin, dass sie der Erhaltung des nutzungsfähigen Zustandes der Liegen- schaft dienen. Unterhaltskosten umfassen also hauptsächlich diejenigen Ausgaben für die In- standstellung einer Liegenschaft, welche bezwecken, die normale Abnützung infolge des Ge- brauchs sowie des Zeitablaufs auszugleichen; sie sind dazu bestimmt, die Liegenschaft als Ein- kommensquelle zu erhalten. Nicht darunter fallen hingegen jene Auslagen, welche den Wert der Liegenschaft und das daraus fliessende Einkommen im Vergleich zum ursprünglichen Zustand</w:t>
      </w:r>
    </w:p>
    <w:p>
      <w:r>
        <w:t>Kantonsgericht KG Seite 5 von 7 erhöhen (zum Begriff der Unterhaltskosten vgl. auch BGE 133 II 287). Unter die nicht abzugsfähi- gen Lebenshaltungskosten werden zudem jene Aufwendungen subsumiert, welche primär der Be- friedigung persönlicher Bedürfnisse und Liebhabereien dienen, sodass eine wirtschaftliche Kon- nexität zur blossen Erhaltung des steuerbaren Einkommens gar nicht erst besteht. Dabei handelt es sich insbesondere um Auslagen, die aus rein persönlicher Neigung heraus getätigt werden, ohne dass der Nutzungswert beeinflusst wird (z.B. Farbtonänderungen, Ersatz von Produkten kurz nach deren Investition usw.; vgl. BERNHARD ZWAHLEN, in: Zweifel / Athanas, Kommentar zum Schweizerischen Steuerrecht I/2b, 2. Aufl., Basel 2008, N 19 f. zu Art. 32 DBG; NICOLAS MERLINO, in Commentaire romand LIFD, Basel 2008, N 109 ad Art. 32). Besondere Fragen stellen sich, wenn es um die Sanierung von Beginn weg mangelhafter Werke geht. In einem jüngeren Ent- scheid hat das Bundesgericht festgehalten, wenn überhaupt keine intakte und gebrauchsfähige Anlage erstellt worden sei, so stelle die Behebung der ursprünglichen Mängel keine Erhaltung oder Wiederherstellung eines zuvor bestehenden Wertes dar. Diesfalls könnten die entsprechenden Aufwendungen nicht als abzugsfähige Unterhaltskosten qualifiziert werden (Urteil 2C_57/2008 vom 11. Dezember 2008, StE 2009 B 25.6 Nr. 57 / RDAF 2009 II 467 Erw. 2.3 ff.; vgl. auch das Urteil 2C_677/2008 vom 29. Mai 2009 Erw. 3.3 und 3.4; vgl. dazu z.B. auch BERNHARD ZWAHLEN, Die einkommenssteuerrechtliche Behandlung von Liegenschaftskosten, Basel 1986, 110 f. sowie StR 1971, 62 ff. Ziff. 5). Auf jeden Fall auszuschliessen sind nachträgliche, faktisch ergänzende Anla- gekosten, da diese als solche ja auch nicht abzugsfähig gewesen wären, wenn der Bauherr das entsprechende Werk schon bei der Überbauung der Liegenschaft erstellt hätte. Im Zusammenhang mit Umgebungsarbeiten ist insbesondere auch zu beachten, dass die Ausla- gen für den Unterhalt des Umschwungs (Garten, usw.) bei selbstbewohnten Liegenschaften nur, aber immerhin insofern als Gewinnungskosten in Betracht fallen können, als die entsprechende Einrichtung überhaupt für die Festsetzung des Eigenmietwertes von (wesentlicher) Bedeutung ist (vgl. FZR 2000, 178 sowie die unveröffentlichten Urteile 4F 2005-22/23 vom 8.7.2005 Erw. 2c; 4F 2003-172 vom 17.6.2005 Erw. 3, 4F 2006-157/158 vom 5.10.2007 Erw. 7 und 607 2008-19/20 vom 23.7.2009 Erw. 4b; GVP SG 2008, Nr. 30; RtiD I 2009, 391; Bundesgerichtsurteil 2A.683/2004 vom 15.7.2005; ZWAHLEN, 118 f.). Die Beweislast dafür, dass Auslagen im Zusammenhang mit einer Liegenschaft Unterhalt betreffen und mithin abzugsfähigen Charakter haben, trägt der Steuerpflichtige. Wie der Steuergerichtshof bereits in seinem Urteil 4F 95 202 vom 28. Mai 1999 entschieden hat, ist die schematische An- wendung von Erfahrungszahlen (Schätzung der auszuscheidenden Anteile), wie sie im vorne er- wähnten Merkblatt zum Ausdruck kommt, aus Praktikabilitätsgründen und im Sinne einer gewissen Gleichbehandlung grundsätzlich durchaus zulässig und angebracht. Gleichzeitig wurde jedoch betont, diese Verwaltungsverordnung vermöge die Justizbehörde nicht in allen Fällen zwingend zu binden. Vielmehr stehe den Steuerpflichtigen im konkreten Fall der Nachweis offen, dass sie hö- here Unterhaltskosten zu tragen gehabt hätten als der Betrag, der sich aus der Anwendung des Merkblatts ergebe. Dabei gälten die allgemeinen Regeln der Beweislastverteilung. Diese Recht- sprechung wurde in der Folge wiederholt bestätigt (vgl. etwa die Urteile 604 2009-56/57 vom 7. Mai 2010, 607 2008-19/20 vom 23. Juli 2009 sowie die dort erwähnten Entscheide). b) Im vorliegenden Fall ist nur noch die Abzugsfähigkeit der Kosten von 25'000 Franken für die Stützmauer streitig. Mit der Vorinstanz ist festzustellen, dass es sich bei der Stützmauer um ein erstmals erstelltes Werk handelt, welches anstelle der früheren Grünböschung erstellt worden ist. Dies wird von den Beschwerdeführern auch ausdrücklich anerkannt.</w:t>
      </w:r>
    </w:p>
    <w:p>
      <w:r>
        <w:t>Kantonsgericht KG Seite 6 von 7 Bezüglich der Gründe für die Erstellung der Stützmauer fällt vorerst auf, dass die Beschwerde- führer im Verlaufe der Verfahren doch unterschiedliche, wenn nicht gar widersprüchliche Erklärun- gen dafür geliefert haben. Wie dem auch sei, ergibt sich auf jeden Fall, dass die investierten Kos- ten nicht als abzugsfähige Liegenschaftsunterhaltskosten qualifiziert werden können. Geht man aufgrund der im vorliegenden Verfahren nun primär geltend gemachten Sachverhaltsdarstellung und gestützt auf das einzige ins Recht gelegte diesbezügliche Beweismittel (Bestätigung des Gar- tenbauers) davon aus, dass die Stützmauer zur Sicherung der nicht unterkellerten Garage erstellt werden musste, so handelt es sich um die Behebung eines ursprünglichen Mangels der Liegen- schaft, welche keine Erhaltung oder Wiederherstellung eines zuvor bestehenden Wertes darstellt und mithin im Lichte der erwähnten bundesgerichtlichen Rechtsprechung nicht abzugsfähig ist. Ebenso wenig kann subsidiär auf einen teilweise abzugsfähigen Ersatz der Grünböschung ge- schlossen werden. Soweit diese nachträglich vor dem Abrutschen bewahrt werden musste, liegt wiederum die Behebung eines ursprünglichen Mangels vor. Abgesehen davon erscheint im Lichte der vorne dargestellten Regelung fraglich, ob der blosse Unterhalt einer reinen Grünböschung überhaupt abzugsfähig sein kann. Diesbezüglich haben die Beschwerdeführer jedoch ohnehin keine relevanten Beweismittel eingereicht oder angeboten, welche eine präzise Gegenüberstellung des neu erstellten Werkes mit dem früheren Zustand ermöglichen würde. Demzufolge ist die Beschwerde abzuweisen.</w:t>
      </w:r>
    </w:p>
    <w:p>
      <w:r>
        <w:rPr>
          <w:b/>
        </w:rPr>
        <w:t>E. 2</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 schädigungen in der Verwaltungsjustiz (Tarif VJ) zur Anwendung gelangt (vgl. Art 146 f. VRG so- wie Art. 4 Abs. 3 des Ausführungsbeschluss vom 5. Januar 1995 über die direkte Bundessteuer; SGF 634.1.11). Im vorliegenden Fall erscheint es angemessen, die Gerichtsgebühr auf 300 Franken festzusetzen. II. Kantonssteuer (604 2014 9)</w:t>
      </w:r>
    </w:p>
    <w:p>
      <w:r>
        <w:rPr>
          <w:b/>
        </w:rPr>
        <w:t>E. 3</w:t>
      </w:r>
    </w:p>
    <w:p>
      <w:r>
        <w:t>Auch gemäss Art. 33 Abs. 2 des Gesetzes vom 6. Juni 2000 über die Kantonssteuern (DStG; SGF 631.1; vgl. zudem Art. 9 Abs. 3 des Bundesgesetzes vom 14. Dezember 1990 über die Har- monisierung der direkten Steuern der Kantone und Gemeinden [StHG; SR 642.14]) können bei Liegenschaften im Privatvermögen insbesondere die Unterhaltskosten sowie die Investitionen, die dem Energiesparen und dem Umweltschutz dienen, abgezogen werden, jedoch nicht die Aufwen- dungen für die Anschaffung, Herstellung oder Wertvermehrung von Vermögensgegenständen (Art. 35 lit. d). Die Einzelheiten sind in der Verordnung der Kantonalen Finanzdirektion (vom 21. März 2001) über den Abzug der Kosten bei Privatliegenschaften und der Investitionen, die dem Ener- giesparen und dem Umweltschutz dienen, sowie der Kosten für die Restaurationsarbeiten an un- beweglichen Kulturgütern (SGF 631.421) geregelt. Die Kantonale Steuerverwaltung verfügt zudem über das vorne in Erw. 1a bereits erwähnte Merkblatt. Angesichts der übereinstimmenden Regelungen ist somit im vorliegenden Fall der Rekurs betref- fend die Kantonssteuer gleich zu beurteilen wie jener betreffend die direkte Bundessteuer.</w:t>
      </w:r>
    </w:p>
    <w:p>
      <w:r>
        <w:t>Kantonsgericht KG Seite 7 von 7</w:t>
      </w:r>
    </w:p>
    <w:p>
      <w:r>
        <w:rPr>
          <w:b/>
        </w:rPr>
        <w:t>E. 4</w:t>
      </w:r>
    </w:p>
    <w:p>
      <w:r>
        <w:t>Dem Ausgang des Verfahrens entsprechend sind die Kosten den Beschwerdeführern aufzuerlegen (Art. 131 Abs. 1 VRG). Dabei gelangt der Tarif vom 17. Dezember 1991 der Verfah- renskosten und Entschädigungen in der Verwaltungsjustiz zur Anwendung (vgl. Art 146 f. VRG). Im vorliegenden Fall erscheint es angemessen, die Gerichtsgebühr auf 300 Franken festzusetzen. Der Steuergerichtshof erkennt: I. Direkte Bundessteuer (604 2014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