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55 vom 31. August 2015</w:t>
      </w:r>
    </w:p>
    <w:p>
      <w:r>
        <w:t>FR Kantonsgericht, 2015-08-31, DE</w:t>
      </w:r>
    </w:p>
    <w:p>
      <w:r>
        <w:rPr>
          <w:b/>
        </w:rPr>
        <w:t xml:space="preserve">Quelle: </w:t>
      </w:r>
      <w:r>
        <w:t>https://mcp.opencaselaw.ch/entscheid/fr_gerichte_604_2014_55</w:t>
      </w:r>
    </w:p>
    <w:p>
      <w:r>
        <w:t>FR: FR_GERICHTE 604 2014 55 du 31 août 2015</w:t>
      </w:r>
    </w:p>
    <w:p>
      <w:r>
        <w:t>IT: FR_GERICHTE 604 2014 55 del 31 agosto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104 Abs. 4 des Bundesgesetzes vom 14. Dezember 1990 über die direkte Bundessteuer (DBG; SR 642.11) regelt das kantonale Recht Organisation und Amtsführung der kantonalen Vollzugsbehörde, soweit das Bundesrecht nichts anderes bestimmt. Dabei sind die Kantone weitgehend frei (vgl. ZIGERLIG / JUD in Zweifel / Athanas [Hrsg.], Kommentar zum schwei- zerischem Steuerrecht, I/2b, Bundesgesetz über die direkte Bundessteuer [DBG], 2. Aufl., Basel 2008, Art. 104 N. 4 f.; PEDROLI in Commentaire romand, Impôt federal direct, Basel 2008, Art. 104 N. 1 ff.). Dementsprechend bestimmen die Art. 3 und 4 Abs. 2 des kantonalen Ausführungsbe- schlusses vom 5. Januar 1995 zum Bundesgesetz über die direkte Bundessteuer (SGF 634.1.11), dass für das Einsprache- bzw. Beschwerdeverfahren unter Vorbehalt anders lautender Bestim- mungen des Bundesrechts sinngemäss die entsprechenden Bestimmungen des kantonalen Rechts gelten. Somit gelangen also allenfalls die Verfahrensvorschriften des Gesetzes vom 6. Juni 2000 über die direkten Kantonssteuern (DStG; SGF 631.1) sowie subsidiär des Gesetzes vom 23. Mai 1991 über die Verwaltungsrechtspflege (VRG; SGF 150.1) zur Anwendung. Im Verfahren der nachträglichen Verwaltungsrechtspflege gilt als Streitgegenstand das Rechtsver- hältnis, das Gegenstand der angefochtenen Verfügung bildet, und zwar in dem Umfang, in dem es im Streit liegt. Beschwerdebegehren, die neue, in der angefochtenen Verfügung nicht geregelte Fragen aufwerfen, überschreiten den Streitgegenstand und sind deshalb unzulässig. Denn in ei- nem Rechtsmittelverfahren kann der Streitgegenstand grundsätzlich nur eingeschränkt, aber nicht ausgeweitet werden. Was Streitgegenstand ist, bestimmt sich nach dem angefochtenen Entscheid und den Parteibegehren. Hat eine Partei bei Anfechtung einer Steuerveranlagung bestimmte Posi- tionen im Einspracheverfahren nicht beanstandet oder geltend gemacht, so kann sie grundsätzlich nicht verlangen, dass sich die obere Instanz nun damit auseinandersetzt. Die ständige Praxis lässt zudem nicht zu, dass eine Partei beispielsweise Verfahrensmängel erst nach dem Ergehen eines ungünstigen Entscheids vorbringt, wenn diese bei rechtzeitiger Geltendmachung noch im voran- gehenden Verfahren hätten behoben werden können (vgl. Urteile BGer 2C_386 und 387/2012 vom 16. November 2012 E. 3.3; 2C_446/2007 vom 22. Januar 2008 E. 2.2 und 3.1 sowie die dort er- wähnten Entscheide und Autoren; siehe auch die unveröffentlichten Urteile des Steuergerichts- hofes 604 2008-145/146 vom 7. Mai 2010 und 604 2009-29 vom 25. Juni 2010). Im Übrigen sieht Art. 81 Abs. 3 VRG ausdrücklich vor, dass der Beschwerdeführer in der Be- schwerdeschrift keine Begehren stellen kann, die ausserhalb des Fragenkreises liegen, der Ge- genstand des vorangegangenen Verfahrens war. Er kann zwar gemäss dieser Bestimmung zur Begründung seines Rechtsmittels Tatsachen und Beweismittel geltend machen, die in diesem</w:t>
      </w:r>
    </w:p>
    <w:p>
      <w:r>
        <w:t>Kantonsgericht KG Seite 6 von 13 Verfahren nicht angeführt wurden; diese vermögen jedoch keine Ausweitung des Streitgegenstan- des zu bewirken. Abgesehen davon bleiben abweichende steuerrechtliche Verfahrensvorschriften, wie sie im Falle der Anfechtung einer Ermessensveranlagung gelten, vorbehalten. b) Im vorliegenden Fall beantragen die Beschwerdeführer vor dem Kantonsgericht neu "die Buchungen ... zu stornieren und die Kreditoren gegenüber der G.________ SA mit Fr. 60'200.00 zu belassen". Der damit angesprochene Problemkreis einer Bilanzänderung oder -berichtigung bildet jedoch nicht Gegenstand des angefochtenen Einspracheentscheides, da er in der Einsprache vom 16. Juni 2012 keineswegs thematisiert worden war. Im Lichte der dargelegten anwendbaren Verfahrensgrundsätze kann somit (sowohl im Bereich der direkten Bundessteuer als auch der Kantonssteuer) auf die Beschwerde in diesem Punkt nicht eingetreten werden. Dies gilt umso mehr, als es ohnehin um ein anderes Steuersubjekt geht, so- weit Bilanz und Erfolgsrechnung der G.________ SA in Frage gestellt werden; dies kann nicht über das persönlichen Steuerkapitel des Aktionärs geschehen. II. Direkte Bundessteuern (604 2014 55)</w:t>
      </w:r>
    </w:p>
    <w:p>
      <w:r>
        <w:rPr>
          <w:b/>
        </w:rPr>
        <w:t>E. 2</w:t>
      </w:r>
    </w:p>
    <w:p>
      <w:r>
        <w:t>a) Gemäss Art. 27 Abs. 1 DBG werden bei selbstständiger Erwerbstätigkeit allgemein die geschäfts- oder berufsmässig begründeten Kosten abgezogen. Nicht abziehbar sind hingegen insbesondere die Aufwendungen für den Unterhalt des Steuerpflichtigen und seiner Familie sowie der durch die berufliche Stellung des Steuerpflichtigen bedingte Privataufwand (Art. 34 lit. a DBG). Bei Aufwendungen, die teils geschäftlich, teils privat (Lebenshaltungskosten) veranlasst sind, ist eine Aufteilung in einen Gewinnungskosten- und einen Privatanteil vorzunehmen. Bestehen keine objektiven Aufteilungskriterien, ist der Privatanteil zu schätzen (vgl. Urteil BGer 2C_452/2009 vom</w:t>
      </w:r>
    </w:p>
    <w:p>
      <w:r>
        <w:rPr>
          <w:b/>
        </w:rPr>
        <w:t>E. 4</w:t>
      </w:r>
    </w:p>
    <w:p>
      <w:r>
        <w:t>Dem Ausgang des Verfahrens entsprechend sind die Kosten in Anwendung von Art. 144 Abs. 1 DBG den Beschwerdeführern aufzuerlegen. Die Höhe der Verfahrenskosten wird durch das kantonale Recht bestimmt (Art. 144 Abs. 5 DBG). Das heisst, dass insbesondere der Tarif vom</w:t>
      </w:r>
    </w:p>
    <w:p>
      <w:r>
        <w:t>Kantonsgericht KG Seite 12 von 13 17. Dezember 1991 der Verfahrenskosten und Entschädigungen in der Verwaltungsjustiz zur An- wendung gelangt (vgl. Art 146 f. VRG). Im vorliegenden Fall erscheint es angemessen, die Gerichtsgebühr auf CHF 3'000.- festzusetzen. III. Kantonssteuer (604 2014 56)</w:t>
      </w:r>
    </w:p>
    <w:p>
      <w:r>
        <w:rPr>
          <w:b/>
        </w:rPr>
        <w:t>E. 5</w:t>
      </w:r>
    </w:p>
    <w:p>
      <w:r>
        <w:t>a) Das DStG enthält bezüglich des vorliegenden Streitgegenstandes analoge Bestimmun- gen wie das DBG. So werden auch gemäss Art. 28 Abs. 1 DStG bei selbstständiger Erwerbstätig- keit allgemein die geschäfts- oder berufsmässig begründeten Kosten abgezogen. Diese Norm stimmt wörtlich mit Art. 10 Abs. 1 (Einleitungssatz) StHG überein. Ebenfalls ausdrücklich vom Ab- zug ausgeschlossen, sind insbesondere die Aufwendungen für den Unterhalt der steuerpflichtigen Person und ihrer Familie sowie der durch die berufliche Stellung der steuerpflichtigen Person be- dingte Privataufwand (Art. 35 Bst. a DStG). Zudem sind gemäss Art. 21 Abs. 1bis DStG, welcher am 1. Januar 2009 in Kraft getreten ist, Divi- denden, Gewinnanteile, Liquidationsüberschüsse und geldwerte Vorteile aus Aktien, Anteilen an Gesellschaften mit beschränkter Haftung, Genossenschaftsanteilen und Partizipationsscheinen (einschliesslich Gratisaktien, Gratisnennwerterhöhungen und dergleichen) im Umfang von 50 Prozent steuerbar, wenn diese Beteiligungsrechte mindestens 10 Prozent des Grund- oder Stammkapitals einer Kapitalgesellschaft oder Genossenschaft darstellen (vgl. im Übrigen auch Art. 21 Abs. 1 Bst. c DStG und Art. 7 Abs. 1 StHG). b) Angesichts der analogen Regelung im Bundesrecht und im kantonalen Recht kann sich der Steuergerichtshof mit dem Hinweis begnügen, dass der Rekurs betreffend die Kantonssteuer aus den vorne in E. 2 f. dargelegten Gründen gleich zu beurteilen ist wie jener betreffend die di- rekte Bundessteuer. Demzufolge ist der Rekurs ebenfalls abzuweisen, soweit darauf einzutreten ist.</w:t>
      </w:r>
    </w:p>
    <w:p>
      <w:r>
        <w:rPr>
          <w:b/>
        </w:rPr>
        <w:t>E. 6</w:t>
      </w:r>
    </w:p>
    <w:p>
      <w:r>
        <w:t>Dem Ausgang des Verfahrens entsprechend sind die Verfahrenskosten den Beschwerde- führern aufzuerlegen (Art. 131 Abs. 1 VRG). Dabei gelangt der Tarif vom 17. Dezember 1991 der Verfahrenskosten und Entschädigungen in der Verwaltungsjustiz zur Anwendung (vgl. Art 146 f. VRG). Im vorliegenden Fall erscheint es angemessen, die Gerichtsgebühr auf CHF 3'000.- festzusetzen.</w:t>
      </w:r>
    </w:p>
    <w:p>
      <w:r>
        <w:t>Kantonsgericht KG Seite 13 von 13 Der Steuergerichtshof erkennt: I. Direkte Bundessteuer (604 2014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