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54 vom 26. August 2015</w:t>
      </w:r>
    </w:p>
    <w:p>
      <w:r>
        <w:t>FR Kantonsgericht, 2015-08-26, DE</w:t>
      </w:r>
    </w:p>
    <w:p>
      <w:r>
        <w:rPr>
          <w:b/>
        </w:rPr>
        <w:t xml:space="preserve">Quelle: </w:t>
      </w:r>
      <w:r>
        <w:t>https://mcp.opencaselaw.ch/entscheid/fr_gerichte_604_2014_54</w:t>
      </w:r>
    </w:p>
    <w:p>
      <w:r>
        <w:t>FR: FR_GERICHTE 604 2014 54 du 26 août 2015</w:t>
      </w:r>
    </w:p>
    <w:p>
      <w:r>
        <w:t>IT: FR_GERICHTE 604 2014 54 del 26 agosto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Die Beschwerdeführer rügen in erster Linie eine Verletzung der Garantie des rechtlichen Gehörs. In ihrer Beschwerdeschrift machen sie im Wesentlichen geltend, die Veranlagungsanzei- gen vom 18. Oktober 2012 genügten den Minimalgarantien des verfassungsmässigen Anspruchs auf rechtliches Gehör (Art. 29 Abs. 2 BV) nicht, weil sie Abweichungen zu den eingereichten Steu- ererklärungen enthielten, ohne dies faktoren- und betragsmässig nachvollziehbar auszuweisen. Zudem werde im angefochtenen Einspracheentscheid weder zu den eingereichten Unterlagen Stellung genommen noch begründet, weshalb die Ende 2010 geleistete Unterhaltszahlung nicht zu berücksichtigen sei. Dem entgegnet die Vorinstanz in ihrer Beschwerdeantwort insbesondere, Änderungen an der Steuererklärung müssten gemäss dem neuen Recht nicht mehr kurz begründet werden, weshalb auch der Steuerpflichtige seine Einsprache nicht mehr zu begründen habe. Im vorliegenden Fall hätten die Veranlagungsanzeigen alle Rubriken enthalten, anhand derer der Kantons- und Bun- dessteuerbetrag berechnet worden sei. Somit seien die Änderungen der deklarierten Beträge ge- setzeskonform mitgeteilt worden. Die Eidgenössische Steuerverwaltung äussert sich in ihrer Vernehmlassung nicht zu dieser verfah- rensrechtlichen Frage. In ihren Gegenbemerkungen verweisen die Beschwerdeführer insbesondere noch auf die beson- deren steuerrechtlichen Vorschriften, wonach Abweichungen von der Steuererklärung spätestens bei der Eröffnung der Veranlagungsverfügung bekanntzugeben und ein allfälliger Einspracheent- scheid (kurz) zu begründen seien. Dabei falle ins Gewicht, dass in einer Einsprache allfällige Be- weismittel zu nennen und sachdienliche Beweisurkunden beizulegen seien, was eine nachvoll- ziehbare Veranlagungsverfügung voraussetze. Die systematische Nichtbeachtung von elementa- ren Verfahrensgrundsätzen durch die Kantonale Steuerverwaltung könne je länger desto mehr als Verletzung der intellektuellen Redlichkeit verstanden werden. Diese Versäumnisse in den Veranla- gungsanzeigen seien auch im Rahmen des Einspracheentscheides nicht geheilt worden. Schliess- lich würden den Beschwerdeführern aus diesen Fehlern verfahrensmässige und materielle Nach- teile drohen, sofern das Verfahren nicht an die Vorinstanz zurückgewiesen werde. b) Grundsätzlich ist davon auszugehen, dass Abweichungen von der Steuererklärung in der Veranlagungsverfügung nach neuem Recht nicht mehr zu begründen, sondern nur bekannt zu geben sind (Art. 131 Abs. 2 des Bundesgesetzes vom 14. Dezember 1990 über die direkte Bun- dessteuer [DBG; SR 642.11], Art. 46 Abs. 2 des Bundesgesetzes vom 14. Dezember 1990 über die Harmonisierung der direkten Steuern der Kantone und Gemeinden [StHG; SR 642.14] und Art. 165 Abs. 2 des Gesetzes vom 6. Juni 2000 über die direkten Kantonssteuern [DStG; SGF 631.1]), wobei das Code-System genügt. Logische Folgerung dieser Neuerung ist, dass auch die Einspra- che gegen eine ordentliche Veranlagung grundsätzlich nicht zu begründen ist (vgl. dazu Urteil VGer FR vom 25. Juni 1997 E. 3a, in FZR 1997 422; ZWEIFEL, in Zweifel / Athanas, Kommentar zum schweizerischem Steuerrecht, I/2b, Bundesgesetz über die direkte Bundessteuer [DBG], 2. Aufl., Basel 2008, Art. 131 N. 7 ff.; LOCHER, in Kommentar DBG, 2015, Art. 131 N. 10 ff.). Gemäss Art. 135 Abs. 2 (in Verbindung mit Art. 116 Abs. 1) DBG sowie Art. 179 Abs. 3 DStG sind Einspracheentscheide schriftlich (kurz) zu begründen. Bezüglich Begründungspflicht ist also zwi- schen Veranlagungsverfügungen und Einspracheentscheiden zu unterscheiden, gelten doch im</w:t>
      </w:r>
    </w:p>
    <w:p>
      <w:r>
        <w:t>Kantonsgericht KG Seite 6 von 15 zweiten Fall naturgemäss die höheren Anforderungen (vgl. dazu insbesondere LOCHER, in Kom- mentar DBG, 2015, Art. 135 N. 10 ff. mit weiteren Hinweisen). Eine minimale Begründungspflicht ergibt sich sodann aus dem verfassungsmässigen Anspruch auf rechtliches Gehör. Das rechtliche Gehör nach Art. 29 Abs. 2 BV verlangt, dass die Behörde die Vorbringen der betroffenen Person hört, prüft und in der Entscheidfindung berücksichtigt. Daraus folgt die Verpflichtung der Behörde, ihren Entscheid zu begründen. Dabei kann sie sich auf die für den Entscheid wesentlichen Punkte beschränken. Die Begründung muss so abgefasst sein, dass sich die betroffene Person über die Tragweite des Entscheids Rechenschaft geben und ihn in vol- ler Kenntnis der Sache an die höhere Instanz weiterziehen kann. In diesem Sinn müssen wenigs- tens kurz die Überlegungen genannt werden, von denen sich die Behörde hat leiten lassen und auf die sich ihr Entscheid stützt (Urteil BGer 2C_440/2013 vom 10. Oktober 2014 E. 3 sowie die dort erwähnten Entscheide). c) Im vorliegenden Fall trifft die Rüge einer ungenügenden Begründung der Veranlagungs- anzeigen vom 18. Oktober 2012 schon deshalb ins Leere, weil in den Steuererklärungen, welche für die Steuerperioden 2007 bis 2010 eingereicht worden waren, gar keine bezifferten Abzüge für geleistete Unterhaltsbeiträge geltend gemacht wurden. Dementsprechend machten die Beschwer- deführer in ihrer Einsprache vom 23. November 2012 denn auch keineswegs geltend, die Veran- lagungsanzeigen seien ungenügend begründet worden. Vielmehr begnügten sie sich im Wesentli- chen damit, einerseits um Sistierung der Veranlagungsverfahren bis zur rechtskräftigen Veranla- gung der Steuerperiode 2006 zu ersuchen und andererseits neu geltend zu machen, die für den Sohn C.________ geleisteten Unterhaltsbeiträge seien gemäss dem früheren Schreiben vom 28. Oktober 2011 zu berücksichtigen. Unter diesen Umständen erweist sich die Rüge nicht nur unbegründet, sondern zum vornherein als unzulässig. Im Verfahren der nachträglichen Verwal- tungsrechtspflege gilt nämlich als Streitgegenstand das Rechtsverhältnis, das Gegenstand der angefochtenen Verfügung bildet, und zwar in dem Umfang, in dem es im Streit liegt. Beschwerde- begehren, die neue, in der angefochtenen Verfügung nicht geregelte Fragen aufwerfen, über- schreiten den Streitgegenstand und sind deshalb unzulässig. Denn in einem Rechtsmittelverfahren kann der Streitgegenstand grundsätzlich nur eingeschränkt, aber nicht ausgeweitet werden. Was Streitgegenstand ist, bestimmt sich nach dem angefochtenen Entscheid und den Parteibegehren. Hat eine Partei bei Anfechtung einer Steuerveranlagung bestimmte Elemente im Einsprachever- fahren nicht beanstandet oder geltend gemacht, so kann sie grundsätzlich nicht verlangen, dass sich die obere Instanz nun damit auseinandersetzt. Die ständige Praxis lässt zudem nicht zu, dass eine Partei beispielsweise Verfahrensmängel erst nach dem Ergehen eines ungünstigen Ent- scheids vorbringt, wenn diese bei rechtzeitiger Geltendmachung noch im vorangehenden Verfah- ren hätten behoben werden können (vgl. die Bundesgerichtsurteile 2C_386 und 387/2012 vom 16. November 2012 E. 3.3; 2C_446/2007 vom 22. Januar 2008 E. 2.2 und 3.1 sowie die dort erwähnten Entscheide und Autoren; siehe auch die unveröffentlichten Urteile des Steuergerichtshofes 604 2008-145/146 vom 7. Mai 2010 und 604 2009-29 vom 25. Juni 2010). Im Übrigen sieht Art. 81 Abs. 3 VRG ausdrücklich vor, dass der Beschwerdeführer in der Beschwerdeschrift keine Begehren stellen kann, die ausserhalb des Fragenkreises liegen, welcher Gegenstand des vorangegangenen Verfahrens war. Er kann zwar zur Begründung seines Rechtsmittels Tatsachen und Beweismittel geltend machen, die in diesem Verfahren nicht angeführt wurden; diese vermögen jedoch keine Ausweitung des Streitgegenstandes zu bewirken. Was sodann die Begründung des angefochtenen Einspracheentscheides betrifft, ist den Be- schwerdeführern einzuräumen, dass diese äusserst knapp ausgefallen ist, begnügte sich die Vor- instanz doch weitgehend mit einem Verweis auf die Ergebnisse des abgeschlossenen Beschwer- deverfahrens bezüglich der Vorperioden. Immerhin wurde dabei ausdrücklich festgehalten, dass gemäss der gerichtlichen Beurteilung die Alimentenzahlungen auf Basis der für die Zeit vom 1. Juli</w:t>
      </w:r>
    </w:p>
    <w:p>
      <w:r>
        <w:t>Kantonsgericht KG Seite 7 von 15 2004 bis 1. September 2009 eingereichten Liste zugelassen worden seien. Für das Jahr 2007 gehe aus dieser Liste ein Betrag von CHF 10'000.- hervor, welcher als Abzug akzeptiert werde. Im Lichte der angerufenen Urteilserwägungen ergibt sich daraus auch implizite, dass eben weitere Zahlungen als nicht erwiesen betrachtet wurden. Diese Begründung durch Verweisung erscheint umso legitimer, als die Beschwerdeführer selber in ihrer Einspracheschrift insbesondere bezüglich der Unterhaltsbeiträge keine ausformulierten Rügen vorgebracht, sondern bloss auf das Schreiben vom 28. Oktober 2011 (im Rahmen des früheren Verfahrens) verwiesen und mit ihrem Sistie- rungsantrag geltend gemacht hatten, es stellten sich vorliegend Rechtsfragen, welche vom Aus- gang des hängigen Beschwerdeverfahrens abhingen. Insofern hatte die Vorinstanz auch keinen Anlass, im Einzelnen nochmals eingehender darzulegen, inwiefern die vom Kantonsgericht und vom Bundesgericht beurteilten (in gewisser Hinsicht periodenübergreifenden) Elemente sowie die grundsätzlichen richterlichen Feststellungen auch für die vorliegend streitigen Steuerperioden Gül- tigkeit behalten. Auf jeden Fall ergibt sich aus dem rechtskräftigen Urteil 604 2012 5 und 6 des Steuergerichtshof vom 3. Juni 2013, dass die Steuerbehörden – vor allem unter den gegebenen, teilweise sehr undurchsichtigen und widersprüchlichen Umständen – berechtigt waren und sind, vorweg einen klaren Zahlungsnachweis von abzugsfähigen Unterhaltsbeiträgen zu fordern. Das dies auch für spätere Steuerperioden gilt, erscheint als offensichtlich und dürfte auch den fach- kundig vertretenen Beschwerdeführern bewusst geworden sein. Zudem hatte sich die Vorinstanz insofern nicht mit anderen Elementen auseinanderzusetzen, als es die Beschwerdeführer auch nach rechtskräftigem Abschluss des Rechtsmittelverfahrens nicht für nötig hielten, für die noch offenen Steuerveranlagungen weitere Beweisunterlagen einzureichen. Im Übrigen vermöchten die Beschwerdeführer mit ihrem Antrag selbst dann nicht durchzudringen, wenn der angefochtene Einspracheentscheid als ungenügend begründet zu betrachten wäre. Diesbezüglich wäre nämlich davon auszugehen, dass gemäss Rechtsprechung eine nicht beson- ders schwerwiegende Verletzung des rechtlichen Gehörs ausnahmsweise als geheilt gelten kann, wenn die betroffene Person die Möglichkeit erhält, sich vor einer Beschwerdeinstanz zu äussern, die sowohl den Sachverhalt wie die Rechtslage frei überprüfen kann (Urteil BGer 2C_191 und 192/2013 vom 29. Juli 2013 E. 3.3 sowie die dort erwähnten Entscheide). Dies träfe im vorliegen- den Fall zu. In der Tat haben die Parteien im Beschwerdeverfahren vor dem Steuergerichtshof, welcher über eine freie und umfassende Kognition verfügt, ihre Standpunkte ausführlich dargelegt und insbesondere die Beschwerdeführer zu den Standpunkten der Steuerbehörden eingehend Stellung nehmen können. Demzufolge besteht kein Anlass, den angefochtenen Entscheid aus formellen Gründen aufzuhe- ben und die Sache an die Vorinstanz zurückzuweisen. II. Direkte Bundessteuer (604 2014 53)</w:t>
      </w:r>
    </w:p>
    <w:p>
      <w:r>
        <w:rPr>
          <w:b/>
        </w:rPr>
        <w:t>E. 2</w:t>
      </w:r>
    </w:p>
    <w:p>
      <w:r>
        <w:t>a) Unterhaltsbeiträge, die ein Elternteil für die unter seiner elterlichen Sorge stehenden Kinder erhält, sind in seinem Kapitel steuerbar (Art. 23 Bst. f DBG). Demgegenüber können die gleichen Beträge vom Steuerpflichtigen, der sie leistet, in Abzug gebracht werden (Art. 33 Abs. 1 Bst. c DBG in Verbindung mit aArt. 212 Abs. 3 DBG; zu diesem Kongruenz- oder Korrespondenz- prinzip siehe etwa Urteil BGer 2C_242/2010 vom 30. Juni 2010 E. 2.1). Nicht absetzbar, aber auch nicht steuerbar sind jedoch Kapitalleistungen zur Abgeltung von Unterhaltsrenten. In der Tat ist der Begriff des Unterhaltsbeitrags im DBG aufgrund seines steuerrechtlichen Kontexts auszulegen, was eine unterschiedliche Behandlung von periodisch ausgerichteten Rentenzahlungen und Ka- pitalleistungen rechtfertigt (BGE 125 II 183; Urteil BGer 2P.252/2000 vom 16. März 2000 E. 4b).</w:t>
      </w:r>
    </w:p>
    <w:p>
      <w:r>
        <w:t>Kantonsgericht KG Seite 8 von 15 Nicht abzugsfähig und demzufolge auch nicht steuerbar sind sodann die Leistungen, die in Erfül- lung anderer familienrechtlicher Unterhalts- oder Unterstützungspflichten (Art. 328 ff. ZGB) er- bracht werden (Art. 33 Abs. 1 Bst. c DBG, letzter Satz, sowie Art. 24 Bst. e DBG). Zu beachten ist schliesslich, dass aufgrund dieser Vorschriften mit Eintritt der Volljährigkeit ein grundlegender Systemwechsel bezüglich der steuerlichen Behandlung der Unterhaltsbeiträge ein- tritt, indem Steuerbarkeit und Abzugsfähigkeit entfallen. Unterhaltsbeiträge, die für mündige Kinder ausgerichtet werden, kommen direkt dem mündigen Kind zu. Sie sind einerseits beim Empfänger nicht steuerbar und können andererseits vom Leistenden nicht in Abzug gebracht werden (vgl. ZIGERLIG/JUD, in Zweifel/Athanas, Kommentar zum schweizerischen Steuerrecht, I/2a, Bundesge- setz über die direkte Bundessteuer [DBG], 2. Aufl., Basel 2008, Art. 23 N. 29 und Art. 33 N 21e; LOCHER, in Kommentar DBG, 2001, Art. 23 N. 68 f.; Urteil BGer in StR 2002 748 E. 3.2.3). b) Bezüglich der Beweislast gilt allgemein die Grundregel, dass die Steuerbehörde die Be- weislast für steuerbegründende und -erhöhende Tatsachen und die steuerpflichtige Person jene für steueraufhebende oder -mindernde Tatsachen trägt (vgl. für den vorliegenden Zusammenhang z.B. die Urteile BGer 2C_242/2010 vom 30. Juni 2010 E. 2.3.1 und 2A.4/2003 vom 11. Juli 2003 E. 2). Mithin haben vorliegend die Beschwerdeführer den Beweis dafür zu erbringen, dass, wann und in welchem Ausmass tatsächlich Unterhaltsleistungen erbracht wurden, welche gemäss den er- wähnten Gesetzesbestimmungen abzugsfähig sind. Dabei gelten gemäss Rechtsprechung (vgl. Urteil BGer 2C_862 und 863/2011 vom 13. Juni 2012 E. 2.4 sowie die dort erwähnten Entscheide) höhere Beweisanforderungen, wenn Abzüge für Leistungen ins Ausland geltend gemacht werden. Es sind genauere und vollständigere Angaben erforderlich, weil sich die Verhältnisse des auslän- dischen Leistungsempfängers der Kontrolle durch die inländischen Steuerbehörden entziehen. Es genügt daher nicht, nur den Zahlungsempfänger zu nennen, sondern es sind die gesamten Um- stände darzulegen, die im konkreten Fall zu deren Ausrichtung geführt haben (z.B. Vereinbarun- gen, lückenlose Korrespondenz mit Zahlungsempfängern und allenfalls involvierten Banken, usw.).</w:t>
      </w:r>
    </w:p>
    <w:p>
      <w:r>
        <w:rPr>
          <w:b/>
        </w:rPr>
        <w:t>E. 3</w:t>
      </w:r>
    </w:p>
    <w:p>
      <w:r>
        <w:t>Die Parteien erklären, dass mit der Bezahlung des Betrags gemäss Ziffer 1 sämtliche Ansprüche aus dem Unterhaltsvertrag vom 24. Februar 2003 abgegolten sind und dieser Vertrag damit beendet ist.</w:t>
      </w:r>
    </w:p>
    <w:p>
      <w:r>
        <w:rPr>
          <w:b/>
        </w:rPr>
        <w:t>E. 4</w:t>
      </w:r>
    </w:p>
    <w:p>
      <w:r>
        <w:t>A.________ verpflichtet sich, bis zum 15. Januar 2011 die in Florida gegen C.________ eingereichte Abänderungsklage ("PETITION FOR DOMESTICATION OF FOREIGN SUPPORT AGREEMENT &amp; ORDER, FOR MODIFICATION OF SUPPORT, DECLARATORY AND OTHER EQUITABLE RELIEF») zurückzuziehen.</w:t>
      </w:r>
    </w:p>
    <w:p>
      <w:r>
        <w:rPr>
          <w:b/>
        </w:rPr>
        <w:t>E. 5</w:t>
      </w:r>
    </w:p>
    <w:p>
      <w:r>
        <w:t>...</w:t>
      </w:r>
    </w:p>
    <w:p>
      <w:r>
        <w:rPr>
          <w:b/>
        </w:rPr>
        <w:t>E. 6</w:t>
      </w:r>
    </w:p>
    <w:p>
      <w:r>
        <w:t>...</w:t>
      </w:r>
    </w:p>
    <w:p>
      <w:r>
        <w:rPr>
          <w:b/>
        </w:rPr>
        <w:t>E. 7</w:t>
      </w:r>
    </w:p>
    <w:p>
      <w:r>
        <w:t>A.________ verpflichtet sich, keine rechtlichen Schritte gegen E.________ wegen allfälliger missbräuchlicher Verwendung von für C.________ bestimmter Unterhaltszahlungen einzuleiten.</w:t>
      </w:r>
    </w:p>
    <w:p>
      <w:r>
        <w:rPr>
          <w:b/>
        </w:rPr>
        <w:t>E. 8</w:t>
      </w:r>
    </w:p>
    <w:p>
      <w:r>
        <w:t>C.________ verpflichtet sich, binnen 5 Tagen nach Erhalt des Betrags gemäss Ziffer 1 und Rückzugs gemäss Ziffer 4 sämtliche gegen A.________ eingeleiteten Betreibungen zurückzuziehen.</w:t>
      </w:r>
    </w:p>
    <w:p>
      <w:r>
        <w:rPr>
          <w:b/>
        </w:rPr>
        <w:t>E. 9</w:t>
      </w:r>
    </w:p>
    <w:p>
      <w:r>
        <w:t>Die Parteien erklären, dass sie mit Erfüllung dieses Vergleiches per Saldo sämtlicher Ansprüche jeglicher Natur auseinandergesetzt sind.</w:t>
      </w:r>
    </w:p>
    <w:p>
      <w:r>
        <w:rPr>
          <w:b/>
        </w:rPr>
        <w:t>E. 10</w:t>
      </w:r>
    </w:p>
    <w:p>
      <w:r>
        <w:t>..." Obwohl also über das Rechtsöffnungsverfahren hinaus neu vor allem die (in einem anderen Ver- fahren umstrittenen) Unterhaltsbeiträge über die Volljährigkeit hinaus und bis zum (erfahrungsge- mäss kostenintensiven) ordnungsgemässen Abschluss der Ausbildung Gegenstand der neuen Vereinbarung zwischen Vater und Sohn bildeten, wurde auch keine ziffernmässige Aufteilung für die Zeit vor und nach der Volljährigkeit des Sohnes vorgenommen, was gegebenenfalls nahelie- gend gewesen wäre. Wie dem auch sei, ist die so neu vereinbarte globale Leistung von CHF 800'000.- an den Sohn unter diesen Umständen (Reglung für die Zukunft, Ungewissheit der ge- nauen Dauer der Ausbildung, usw.) sehr wohl als pauschale Kapitalabfindung (vgl. dazu BGE 125 II 183) und nicht als blosse Nachzahlung periodischer Unterhaltsbeiträge zu qualifizieren, was wie bereits dargelegt, den steuerlichen Abzug zum vornherein ausschliesst. Angesichts des gesetzli- chen Systemwechsels bei Eintritt der Volljährigkeit hätte es sonst dem Steuerpflichtigen zumindest oblegen, auch diesbezüglich klare Verhältnisse zu schaffen. Abgesehen davon ist aufgrund der vorhandenen Akten auch festzustellen, dass der erforderliche klare Nachweis der angeblich in der Steuerperiode 2010 erfolgten tatsächlichen Zahlungen, wel- che für die steuerliche Berücksichtigung von allfälligen Nachzahlungen massgebend wäre, nicht rechtsgenügend erbracht wurde. Einerseits fällt auf, dass die beiden Beträge von CHF 80'000.- bzw. CHF 20'000.- (gemäss der Beilage Gegenbemerkungen 4) per 30. und 31. Dezember 2010 nicht einem persönlichen Konto des Beschwerdeführers, sondern einem Kontokorrentkonto seiner Augenzentrum A.________ AG belastet wurden. Diesbezüglich bedürfte es also zusätzlich genauerer Angaben über die Art und Weise der Verbuchung bzw. des Nachweises, dass diese Beträge nicht etwa als Geschäftsaufwand der AG verbucht, sondern gleichzeitig durch eine entsprechende Verbuchung effektiv dem Beschwerdeführer belastet worden sind (Privatentnahme, Begründung eines Darlehens, Verrechnung). Andererseits hat die Eidgenössische Steuerverwal- tung zu Recht darauf hingewiesen, dass die Beilage Gegenbemerkungen 5 bloss einen Vergü- tungsauftrag an den Sohn vom 31. Dezember 2010 sowie einen nur beschränkt lesbaren Beleg</w:t>
      </w:r>
    </w:p>
    <w:p>
      <w:r>
        <w:t>Kantonsgericht KG Seite 14 von 15 einer (vorgängigen) Gutschrift auf einem Konto des Beschwerdeführers umfasst, was für den er- forderlichen klaren Zahlungsnachweis nicht genügt. Trotz der diesbezüglichen Stellungnahme der Gegenpartei haben es die Beschwerdeführer nicht für nötig befunden, den (ohne Weiteres mögli- chen und zumutbaren) klaren Nachweis dafür zu erbringen, dass der Betrag dem Konto des Be- schwerdeführers tatsächlich noch an diesem Tag belastet worden ist. Aus der allein nachgereich- ten Kopie des elektronischen Schriftverkehrs zwischen den Anwälten der Parteien (vom 11./12. Januar 2011) lässt sich insbesondere nicht ableiten, in welchem Zeitpunkt und von welchem Konto die umstrittene Zahlung tatsächlich geleistet worden sein könnte. Die Steuerbehörden sind selbstverständlich berechtigt, genau zu erfahren, wann und mit welchen Mitteln der Beschwerdeführer den zum Abzug geltend gemachten Betrag allenfalls bezahlt hat. Schliesslich steht es den Beschwerdeführern auch schlecht an, nun in ihren Schlussbemerkungen plötzlich geltend zu machen, massgebend sei die Fälligkeit und nicht der Zeitpunkt der tatsächlichen Zahlung. In der Tat sind sie ja noch in ihrer Beschwerdeschrift selber ausdrücklich davon ausgegangen, dass es auf den Moment der tatsächlichen Zahlung ankommt. Zusammenfassend ist festzuhalten, dass die Beschwerdeführer den ihnen obliegenden Beweis, dass und in welchem Ausmass im Jahr 2010 der Kindsmutter periodische Unterhaltbeiträge für die Zeit der Minderjährigkeit des Sohnes nachbezahlt worden sind, nicht rechtsgenügend erbracht haben. Unter diesen Umständen kann schliesslich auch die grundsätzliche Frage offen gelassen werden, ob monatliche Leistungen von CHF 15'000.- für ein minderjähriges Kind, sofern sie nachgewiesen wären, überhaupt in vollem Ausmass die Rechtsnatur von Unterhaltsbeiträgen im Sinne des Steu- ergesetzes zugesprochen werden könnte. Aus all diesen Gründen ist die Beschwerde abzuweisen, soweit darauf einzutreten ist. 4. Dem Ausgang des Verfahrens entsprechend sind die Kosten in Anwendung von Art. 144 Abs. 1 DBG den Beschwerdeführern aufzuerlegen. Die Höhe der Verfahrenskosten wird durch das kantonale Recht bestimmt (Art. 144 Abs. 5 DBG). Das heisst, dass insbesondere der Tarif vom 17. Dezember 1991 der Verfahrenskosten und Entschädigungen in der Verwaltungsjustiz zur An- wendung gelangt (vgl. Art 146 f. VRG). Im vorliegenden Fall erscheint es unter Berücksichtigung des Streitwertes sowie des Aufwandes angemessen, die Gerichtsgebühr auf CHF 3'000.- festzusetzen. III. Kantonssteuer (604 2014 54) 5. Unterhaltsbeiträge, die ein Elternteil für die unter seiner elterlichen Gewalt stehenden Kinder erhält, sind in seinem Kapitel steuerbar (Art. 24 Bst. f und 25 Bst. e DStG; vgl. auch Art. 7 Abs. 4 Bst. g StHG). Demgegenüber können die gleichen Beträge vom Steuerpflichtigen, der sie leistet, in Abzug gebracht werden (Art. 34 Abs. 1 Bst. c DStG; Art. 9 Abs. 2 Bst. c StHG). Nicht abzugsfähig und demzufolge auch nicht steuerbar sind hingegen die Leistungen, die in Er- füllung anderer familienrechtlicher Unterhalts- oder Unterstützungspflichten erbracht werden (Art. 34 Abs. 1 Bst. c DStG; Art. 9 Abs. 2 Bst. c StHG). Die vorne in Erwägung 2 ff. dargelegten Grundsätze gelten somit auch im Bereich der Kantons- steuern. Demzufolge ist auch der Rekurs betreffend die Kantonssteuer abzuweisen, soweit darauf einzu- treten ist.</w:t>
      </w:r>
    </w:p>
    <w:p>
      <w:r>
        <w:t>Kantonsgericht KG Seite 15 von 15 6. Dem Ausgang des Verfahrens entsprechend sind die Kosten den Beschwerdeführern aufzu- erlegen (Art. 131 Abs. 1 VRG). Dabei gelangt der Tarif vom 17. Dezember 1991 der Verfahrens- kosten und Entschädigungen in der Verwaltungsjustiz zur Anwendung (vgl. Art 146 f. VRG). Im vorliegenden Fall erscheint es angemessen, die Gerichtsgebühr auf CHF 3'000.- festzusetzen. Der Steuergerichtshof erkennt: I. Direkte Bundessteuer (604 2014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