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131 vom 23. März 2015</w:t>
      </w:r>
    </w:p>
    <w:p>
      <w:r>
        <w:t>FR Kantonsgericht, 2015-03-23, DE</w:t>
      </w:r>
    </w:p>
    <w:p>
      <w:r>
        <w:rPr>
          <w:b/>
        </w:rPr>
        <w:t xml:space="preserve">Quelle: </w:t>
      </w:r>
      <w:r>
        <w:t>https://mcp.opencaselaw.ch/entscheid/fr_gerichte_604_2014_131</w:t>
      </w:r>
    </w:p>
    <w:p>
      <w:r>
        <w:t>FR: FR_GERICHTE 604 2014 131 du 23 mars 2015</w:t>
      </w:r>
    </w:p>
    <w:p>
      <w:r>
        <w:t>IT: FR_GERICHTE 604 2014 131 del 23 marzo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Gemäss Art. 182 DStG richtet sich das Beschwerdeverfahren im Übrigen nach dem Gesetz vom 23. Mai 1991 über die Verwaltungsrechtspflege (VRG; SGF 150.1). Die Beschwerdeführenden haben ihre Beschwerde gegen den Einspracheentscheid vom 14. November 2014 am 17. Dezember 2014 eingereicht. Die Beschwerde enthält im Übrigen Rechtsbegehren und ist begründet. Die Beschwerdeführenden, Schuldner der in Frage gestellten Steuer, sind durch den angefochtenen Entscheid berührt und haben ein schutzwürdiges Interesse an dessen Aufhebung oder Änderung (Art. 76 Bst. a VRG).</w:t>
      </w:r>
    </w:p>
    <w:p>
      <w:r>
        <w:t>Kantonsgericht KG Seite 4 von 7 I. Direkte Bundessteuer (604 2014 131)</w:t>
      </w:r>
    </w:p>
    <w:p>
      <w:r>
        <w:rPr>
          <w:b/>
        </w:rPr>
        <w:t>E. 2</w:t>
      </w:r>
    </w:p>
    <w:p>
      <w:r>
        <w:t>Die Beschwerdeführenden beantragen, für die Steuerperiode 2011, den Abzug der Einkaufssumme von 300'000 Franken in die berufliche Vorsorge vom steuerbaren Einkommen und die entsprechende tiefere Ansetzung des steuerbaren Einkommens. a) Nach Art. 33 Abs. 1 Bst. d DBG, sowie nach Art. 81 Abs. 2 des Bundesgesetzes über die berufliche Alters-, Hinterlassenen- und Invalidenvorsorge vom 25. Juni 1982 (BVG; SR 831.40), werden die gemäss Gesetz, Statut oder Reglement geleisteten Einlagen, Prämien und Beiträge an die Alters-, Hinterlassenen- und Invalidenversicherung und an Einrichtungen der beruflichen Vorsorge von den Einkünften abgezogen. Die durch diese Vorschrift statuierten Abzüge gelten sowohl für periodische als auch für einmalige Zahlungen zwecks Einkaufs von Beitragsjahren im Bereich der obligatorischen oder überobligatorischen Vorsorge. Die bundesgerichtliche Rechtsprechung hat seit jeher den Abzug dann nicht zugelassen, wenn eine Steuerumgehung vorlag.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Das Ziel eines Einkaufs von Beitragsjahren besteht im Aufbau bzw. in der Verbesserung der beruflichen Vorsorge. Dieses Ziel wird aber dann offensichtlich verfehlt, wenn die gleichen Mittel kurze Zeit später – bei kaum verbessertem Versicherungsschutz – der Vorsorgeeinrichtung wieder entnommen werden (vgl. Urteil BGer 2C_488/2014 vom 15. Januar 2015 E. 2.1). Mit Wirkung ab 1. Januar 2006 wurde Art. 79b Abs. 3 Satz 1 BVG neu in das Gesetz aufgenommen. Nach dieser Vorschrift dürfen die aus Einkäufen resultierenden Leistungen innerhalb der nächsten drei Jahre nicht in Kapitalform aus der Vorsorge zurückgezogen werden. Mit dem Inkrafttreten von Art. 79b BVG hat das Bundesgericht seine bisherige Rechtsprechung bestätigt und präzisiert. Es hat erkannt, Art. 79b BVG beruhe klar auf steuerrechtlichen Motiven. Aus den parlamentarischen Beratungen erhelle, dass mit der Sperrfrist von drei Jahren dieselben Missbräuche der Steuerminimierung bekämpft werden sollten, welche schon nach der bisherigen Praxis zur Verweigerung der Abzugsberechtigung geführt hätten. Wenn Art. 79b Abs. 3 BVG im Falle von Einkäufen für "die daraus resultierenden Leistungen" eine dreijährige Kapitalrückzugs- sperre vorsehe, so sei das nicht als notwendigerweise direkte Verknüpfung zwischen dem Einkauf und der Leistung zu verstehen, zumal die Leistungen aus Vorsorgeeinrichtungen nicht aus bestimmten Mitteln, sondern aus dem Vorsorgekapital der versicherten Person insgesamt finanziert werden. Grundsätzlich sei, so das Bundesgericht weiter, jede Kapitalauszahlung in der Dreijahresfrist als missbräuchliche Steuerminimierung anzusprechen. Wesentlich und ausschlaggebend war der Umstand, dass kurz nach einer späten Einzahlung Vorsorgemittel ausbezahlt wurden, und zwar so, dass das Hin und Her nicht als sachgerechte Verbesserung des Vorsorgeschutzes, sondern als vorübergehende und steuerlich motivierte Geldverschiebung erscheine (vgl. Urteile BGer 2C_488/2014 vom 15. Januar 2015 E. 2.2; 2C_658/2009 vom 12. März 2010 E. 2 und 3). Diese Rechtsprechung hat das Bundesgericht seither wiederholt bestätigt und erweitert. Es hielt namentlich fest, das Vorsorgekapital bilde eine Einheit und müsse gesamtheitlich betrachtet werden ("forme un tout et doit être pris dans son ensemble"). Massgeblich sei, dass der Einkauf kurze Zeit vor der Auszahlung von Vorsorgekapital erfolgt sei. Damit erscheine das Hin und Her der</w:t>
      </w:r>
    </w:p>
    <w:p>
      <w:r>
        <w:t>Kantonsgericht KG Seite 5 von 7 Geldmittel auch nicht als sachgerechte Verbesserung des Vorsorgeschutzes, sondern als vorübergehende und steuerlich motivierte Geldverschiebung (vgl. Urteil BGer 2C_488/2014 vom 15. Januar 2015 E. 2.1). Die Fälle, welche gemäss der bundesgerichtlichen Rechtsprechung als Steuerumgehung betrachtet wurden, können auch unter der Herrschaft des neuen Art. 79b Abs. 3 BVG weiterhin so qualifiziert werden, sofern die Auszahlung nach der Frist von drei Jahren erfolgt (vgl. Urteile BGer 2C_614/2010 vom 24. November 2010 E. 3.2.3; Urteil Steuergerichtshof Freiburg 604 2012 46 vom 27. November 2013 E. 2b in fine). Die neue Bestimmung hat jedoch eine weitergehende Tragweite, insbesondere was die zeitliche Nähe von Einkauf und Kapitalbezug betrifft. In der Tat hat sich ja der Gesetzgeber nun zu diesem Punkt klar geäussert. Es ist von einer konsequenten – und grundsätzlich ausnahmslosen – Gleichsetzung von Kapitalauszahlung in der Dreijahresfrist mit missbräuchlicher Steuerminimierung auszugehen (vgl. Urteil BGer 2C_658/2009 vom 12. März 2010 E. 3.3). Da es um ein missbräuchliches Verhalten geht, stellt sich allerdings die Frage, welche Bedeutung dem subjektiven Element der Absichten zukommt. Diesbezüglich muss der Zusammenhang zwischen den beiden Handlungen (Einkauf und Kapitalbezug) nicht so eng sein wie im Falle der Steuerumgehung. Angesichts des Zusammenhangs mit der Steuerumgehung stellt das subjektive Element zwar ein gewichtiges Indiz dar; es ist jedoch nicht notwendig, um darauf zu schliessen, dass eine rein steuerlich motivierte vorübergehende Geldanlage in der zweiten Säule missbräuchlich erscheint. Massgebend ist das objektive Bild, welches sich im konkreten Fall ergibt (vgl. Urteil Steuergerichtshof Freiburg 604 2012 46 vom 27. November 2013 E. 2b in fine). Art. 79b Abs. 3 BVG schliesst nicht den Einkauf aus, sondern dessen steuerrechtliche Berücksichtigung aus, wenn ein Kapitalbezug kurz danach erfolgt. Dies hat zur Folge, dass der Einkauf steuerlich nicht in Abzug gebracht werden kann und die reduzierte Besteuerung der Kapitalleistung allenfalls entsprechend angepasst wird. b) Vorliegend ist zunächst festzuhalten, dass der zur Diskussion stehende Einkauf, wenn auch nur um sechs Tage, innerhalb der Frist von drei Jahren vor Auszahlung eines Vorsorgevorbezugs erfolgt ist. Insofern ist mit der Rechtsprechung und der Vorinstanz davon auszugehen, dass die Voraussetzungen der objektivierten Regelung von Art. 79b Abs. 3 BVG erfüllt sind, was den streitigen Abzug grundsätzlich ausschliesst. Die Beschwerdeführenden machen allerdings geltend, die dargestellte Rechtsprechung sei in ihrem Fall nicht massgeblich, denn die vorzeitige Auszahlung beruhe einzig auf einem fehlerhaften Verhalten der Vorsorgeeinrichtung, welche daraufhin die Stornierung des Vorbezugs akzeptiert und lückenlos umgesetzt habe, womit das Vorsorgeguthaben des Beschwerdeführers unangetastet geblieben sei und die Situation sich wieder wie vor der irrtümlicherweise zu früh erfolgten Kapitalauszahlung präsentiere. Dieser Argumentation kann aus folgenden Überlegungen nicht gefolgt werden. Wie die Steuerpflichtigen selber zugeben, haben sie mit der Vorsorgeeinrichtung Besprechungen geführt, in deren Rahmen explizit vereinbart wurde, dass die Auszahlung des Vorbezugsbetrags erst knapp nach Ablauf der dreijährigen Frist erfolgen sollte. Es habe zudem kein wirklicher Finanzierungsbedarf bestanden und sie hätten lediglich geplant, mit diesem Betrag eine Hypothek zurückzuzahlen. Der Auszahlungstermin wurde überdies zwischen den Steuerpflichtigen und der Vorsorgeeinrichtung besprochen und mit Vertrag vom 24. März 2014 auf den 22. April 2014</w:t>
      </w:r>
    </w:p>
    <w:p>
      <w:r>
        <w:t>Kantonsgericht KG Seite 6 von 7 festgelegt. Unter diesen Voraussetzungen ist es offensichtlich, dass der Einkauf und der darauf folgende Kapitalbezug einer steuerrechtlichen Logik folgte und nicht einen vorsorgerechtlichen Zweck hatte. Mit der Kapitaleinlage wurde nicht die Schliessung einer Beitragslücke angestrebt, sondern die Vorsorgeeinrichtung als steuerbegünstigtes Kontokorrent zweckentfremdet. Die Tatsache, dass die Steuerpflichtigen, als sie von der Kantonalen Steuerverwaltung erfahren hatten, dass der steuerrechtliche Zweck vereitelt worden war, umgehend die Stornierung und Rückabwicklung der Transaktion veranlassten, macht es noch eindeutiger, dass das Vorgehen nur einen steuerrechtlichen Grund hatte. Unter diesen Umständen ist die Beschwerde abzuweisen und der Einspracheentscheid der Kantonalen Steuerverwaltung vom 14. November 2014 zu bestätigen.</w:t>
      </w:r>
    </w:p>
    <w:p>
      <w:r>
        <w:rPr>
          <w:b/>
        </w:rPr>
        <w:t>E. 3</w:t>
      </w:r>
    </w:p>
    <w:p>
      <w:r>
        <w:t>Dem Ausgang des Verfahrens entsprechend sind die Kosten den Beschwerdeführenden unter solidarischer Haft aufzuerlegen (Art. 144 Abs. 1 DBG; Art. 131 Abs. 1 und 132 Abs. 2 VRG). Die Höhe der Verfahrenskosten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50 bis 50 000 Franken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1'750 Franken festzu- setzen. II. Kantonssteuer (604 2014 132)</w:t>
      </w:r>
    </w:p>
    <w:p>
      <w:r>
        <w:rPr>
          <w:b/>
        </w:rPr>
        <w:t>E. 4</w:t>
      </w:r>
    </w:p>
    <w:p>
      <w:r>
        <w:t>Die Rechtslage ist bei den Staats- und Gemeindesteuern die gleiche wie bei der direkten Bundessteuer. Die entsprechenden, gleichlautenden Gesetzesbestimmungen sind in Art. 34 Abs. 1 Bst. d DStG sowie Art. 9 Abs. 2 Bst. d StHG enthalten. Damit resultiert für die Staats- und Gemeindesteuern dasselbe Ergebnis wie bei der direkten Bundessteuer. Auch in diesem Punkt wird daher die Beschwerde abgewiesen und der Einspracheentscheid der Kantonalen Steuerverwaltung vom 14. November 2014 bestätigt.</w:t>
      </w:r>
    </w:p>
    <w:p>
      <w:r>
        <w:rPr>
          <w:b/>
        </w:rPr>
        <w:t>E. 5</w:t>
      </w:r>
    </w:p>
    <w:p>
      <w:r>
        <w:t>Dem Ausgang des Verfahrens entsprechend sind die Kosten den Beschwerdeführenden unter solidarischer Haft aufzuerlegen (Art. 144 Abs. 1 DBG; Art. 131 Abs. 1 und 132 Abs. 2 VRG). Es gelangt der Tarif vom 17. Dezember 1991 der Verfahrenskosten und Entschädigungen in der Verwaltungsjustiz (Tarif VJ; SGF 150.12) zur Anwendung (vgl. Art 146-147 VRG), welcher vor- sieht, dass die Verwaltungsjustizgebühr 50 bis 50 000 Franken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1'750 Franken festzusetzen.</w:t>
      </w:r>
    </w:p>
    <w:p>
      <w:r>
        <w:t>Kantonsgericht KG Seite 7 von 7 Der Hof erkennt: I. Direkte Bundessteuer (604 2014 131) 1. Die Beschwerde von A.________ und B.________ wird abgewiesen. Der Einspracheentscheid der Kantonalen Steuerverwaltung vom 14. November 2014 wird bestätigt. 2. Die Kosten (Gebühr: 1'750 Franken) werden A.________ und B.________ unter solidarischer Haftung auferlegt. Diese Gerichtsgebühr wird mit dem geleisteten Kostenvorschuss verrechnet. II. Kantonssteuer (604 2014 132) 3. Die Beschwerde von A.________ und B.________ wird abgewiesen. Der Einspracheentscheid der Kantonalen Steuerverwaltung vom 14. November 2014 wird bestätigt. 4. Die Kosten (Gebühr: 1'750 Franken) werden A.________ und B.________ unter solidarischer Haftung auferlegt. Diese Gerichtsgebühr wird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23. März 2015/dbe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