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2013 87 vom 17. März 2015</w:t>
      </w:r>
    </w:p>
    <w:p>
      <w:r>
        <w:t>FR Kantonsgericht, 2015-03-17, DE</w:t>
      </w:r>
    </w:p>
    <w:p>
      <w:r>
        <w:rPr>
          <w:b/>
        </w:rPr>
        <w:t xml:space="preserve">Quelle: </w:t>
      </w:r>
      <w:r>
        <w:t>https://mcp.opencaselaw.ch/entscheid/fr_gerichte_604_2013_87</w:t>
      </w:r>
    </w:p>
    <w:p>
      <w:r>
        <w:t>FR: FR_GERICHTE 604 2013 87 du 17 mars 2015</w:t>
      </w:r>
    </w:p>
    <w:p>
      <w:r>
        <w:t>IT: FR_GERICHTE 604 2013 87 del 17 marzo 2015</w:t>
      </w:r>
    </w:p>
    <w:p>
      <w:pPr>
        <w:pStyle w:val="Heading2"/>
      </w:pPr>
      <w:r>
        <w:t>Regeste</w:t>
      </w:r>
    </w:p>
    <w:p>
      <w:r>
        <w:t>Entscheid des Steuergerichtshofes des Kantonsgerichts | Einkommens- und Vermögenssteuer der natürlichen Personen</w:t>
      </w:r>
    </w:p>
    <w:p>
      <w:pPr>
        <w:pStyle w:val="Heading2"/>
      </w:pPr>
      <w:r>
        <w:t>Erwägungen</w:t>
      </w:r>
    </w:p>
    <w:p>
      <w:r>
        <w:rPr>
          <w:b/>
        </w:rPr>
        <w:t>E. 1</w:t>
      </w:r>
    </w:p>
    <w:p>
      <w:r>
        <w:t>Gegen Einspracheentscheide der Veranlagungsbehörde kann die steuerpflichtige Person innert 30 Tagen nach Zustellung beim Kantonsgericht schriftlich Beschwerde erheben (Art. 140 Abs. 1 des Bundesgesetzes über die direkte Bundessteuer vom 14. Dezember 1990 [DBG; SR 642.11]; Art. 50 Abs. 1 des Bundesgesetzes über die Harmonisierung der direkten Steuern der Kantone und Gemeinden vom 14. Dezember 1990 [StHG; SR 642.14]; Art. 180 Abs. 1 des Gesetzes vom 6. Juni 2000 über die direkten Kantonssteuern [DStG; SGF 631.1]). Die Beschwerdeschrift muss die Begehren des Beschwerdeführers und deren Begründung enthalten (vgl. Art. 140 Abs. 2 DBG; Art. 50 Abs. 2 StHG; Art. 180 Abs. 2 DStG). Mit der Beschwerde können alle Mängel des angefochtenen Entscheids und des vorangegangenen Verfahrens gerügt werden (Art. 140 Abs. 3 DBG; Art. 50 Abs. 2 StHG; Art. 180 Abs. 3 DStG). Gemäss Art. 182 DStG richtet sich das Beschwerdeverfahren im Übrigen nach dem Gesetz vom 23. Mai 1991 über die Verwaltungsrechtspflege (VRG; SGF 150.1). Die Beschwerdeführenden haben ihre Beschwerde gegen den Einspracheentscheid vom 29. August 2013 am 3. Oktober 2013 eingereicht. Die Beschwerde enthält im Übrigen Rechtsbegehren und ist begründet. Die Beschwerdeführenden, Schuldner der in Frage gestellten Steuer, sind durch den angefochtenen Entscheid berührt und haben ein schutzwürdiges Interesse an dessen Aufhebung oder Änderung (Art. 76 Bst. a VRG).</w:t>
      </w:r>
    </w:p>
    <w:p>
      <w:r>
        <w:t>Kantonsgericht KG Seite 4 von 10 Auf die Beschwerde ist somit einzutreten. I. Direkte Bundessteuer (604 2013 87)</w:t>
      </w:r>
    </w:p>
    <w:p>
      <w:r>
        <w:rPr>
          <w:b/>
        </w:rPr>
        <w:t>E. 2</w:t>
      </w:r>
    </w:p>
    <w:p>
      <w:r>
        <w:t>Die Beschwerdeführenden beantragen die Berücksichtigung, bei der Einzelfirma des Steuerpflichtigen, von Rückstellungen in der Höhe von 83'321 Franken. a) Gemäss Art. 29 Abs. 1 DBG sind Rückstellungen zu Lasten der Erfolgsrechnung zulässig für im Geschäftsjahr bestehende Verpflichtungen, deren Höhe noch unbestimmt ist (Bst. a), Verlustrisiken, die mit Aktiven des Umlaufvermögens, insbesondere mit Waren und Debitoren, verbunden sind (Bst. b), andere unmittelbar drohende Verlustrisiken, die im Geschäftsjahr bestehen (Bst. c), und künftige Forschungs- und Entwicklungsaufträge an Dritte bis zu 10 Prozent des steuerbaren Geschäftsertrages, insgesamt jedoch höchstens bis zu 1 Million Franken (Bst. d). Zu den Rückstellungen im engeren Sinne zählen dabei zu Lasten der Erfolgsrechnung gebildete Passiven, welche im Rechnungsjahr bestehende Verpflichtungen oder Verlustrisiken berücksichtigen, deren Rechtsbestand oder Höhe nicht genau feststehen (vgl. Urteil BGer 2C_533/2012 vom 19. Februar 2013 E. 4.2). Die echte Rückstellung ist ein Buchungsvorgang, mit dem unter den Passiven der Jahresbilanz zu Lasten der Erfolgsrechnung einer Verbindlichkeit, die am Ende des Geschäftsjahres zwar besteht, aber in ihrem Bestand und/oder in ihrer Höhe nicht genau feststeht, Rechnung getragen wird. Soweit "drohende Verluste" berücksichtigt werden sollen, ist anerkannt, dass für zukünftige Risiken bzw. Ertragseinbussen keine Rückstellungen gebildet werden dürfen (vgl. Urteil BGer 2C_478/2011 vom 10. November 2011 E. 2.1). Echte Rückstellungen im Sinne von Bst. a und teilweise Bst. c werden vorgenommen für Verbindlichkeiten, meist Schulden, der Unternehmung, die am Ende des Geschäftsjahres bestehen, die aber ihrer Höhe nach noch ungewiss sind oder geschätzt werden müssen. Sie werden als Fremdkapitalposten durch Verbuchung unter den Passiven in der Jahresschlussbilanz zu Lasten der Erfolgsrechnung ausgewiesen. Mit der Rückstellung wird ein Aufwand erfolgswirksam berücksichtigt, der noch nicht zur Ausgabe geworden ist und bei dem ungewiss ist, in welcher Höhe er entsteht. Nach dem Grundsatz der Periodizität ist dieser Aufwand derjenigen Periode zuzuweisen, in der er entstanden ist. Durch die periodengerechte Verbuchung wird die Vermögenslage der Unternehmung am Bilanzstichtag richtig dargestellt (vgl. Urteil BGer 2C_392/2009 vom 23. August 2010 E. 2.1). Geschäftsmässig begründet sind Rückstellungen, die unternehmungswirtschaftlich gerechtfertigt sind. Rückstellungen in diesem Sinne werden im Hinblick auf drohende gegenwärtige Verlustgefahren in die Bilanz eingeführt und bringen zum Ausdruck, dass das im Unternehmen gebundene Vermögen nicht als definitiv erworben angesehen werden darf. Es sind Rückstellungen, die gemacht werden müssen, um die Bilanz der Unternehmung nicht unrichtig (zu günstig) erscheinen zu lassen. Die Rückstellung begegnet der Verlustgefahr insofern, als sie verhindert, dass später ein Verlust erscheint, der schon beim Buchabschluss bestanden hat und in diesem früheren Zeitpunkt hätte verbucht werden müssen (vgl. Urteil BGer 2C_392/2009 vom 23. August 2010 E. 2.2). Das Bundesgericht hat in seiner Rechtsprechung zum Bundessteuerrecht Rückstellungen stets zugelassen, wenn sie im Hinblick auf gegenwärtige, drohende Verlustgefahren in die Bilanz eingeführt werden. Mit der Rückstellung wird dem laufenden Geschäftsjahr eine als Geschäftsaufwand zu würdigende Verbindlichkeit gewinnmindernd angerechnet, die am Bilanzstichtag zwar tatsächlich oder mindestens</w:t>
      </w:r>
    </w:p>
    <w:p>
      <w:r>
        <w:t>Kantonsgericht KG Seite 5 von 10 wahrscheinlich bestanden hat, aber in ihrer Höhe erst im nächsten oder in einem folgenden Geschäftsjahr geldmässig genau feststeht. Die Ereignisse, welche Ursache eines derartigen tatsächlichen oder wahrscheinlichen, am Bilanzstichtag ungewissen Aufwands sind, müssen im laufenden Geschäftsjahr eingetreten sein (vgl. Urteil BGer 2C_392/2009 vom 23. August 2010 E. 2.3). Die Rückstellungen haben nur vorübergehenden Charakter. Auch wenn Rückstellungen in der Folgeperiode erfolgswirksam aufgelöst (und dann allenfalls neu gebildet) werden, verbietet das Periodizitätsprinzip eine Schmälerung des steuerbaren Gewinns mittels übersetzter Rückstellungen. Gemäss dem im schweizerischen Steuerrecht geltenden Periodizitätsprinzip hat ein Unternehmen im Steuerjahr denjenigen Gewinn zu versteuern, den es in der entsprechenden Steuerperiode erzielt hat. Es dürfen demnach nicht die Ergebnisse der Geschäftsperiode untereinander ausgeglichen werden, indem diejenigen einer Periode zugunsten oder zu Lasten einer andern vermindert oder erhöht werden. Liegt eine Verletzung des Periodizitätsprinzips vor, so ist eine steuerliche Korrektur vorzunehmen (vgl. Urteil BGer 2C_553/2007 vom 29. September 2008 E. 2.1). Die geschäftsmässige Begründetheit von Rückstellungen ist vom Steuerpflichtigen nachzuweisen, da es sich um steuermindernde Tatsachen handelt (vgl. Urteil BGer 2C_337/2014 vom</w:t>
      </w:r>
    </w:p>
    <w:p>
      <w:r>
        <w:rPr>
          <w:b/>
        </w:rPr>
        <w:t>E. 6</w:t>
      </w:r>
    </w:p>
    <w:p>
      <w:r>
        <w:t>Die Rechtslage ist bei den Staats- und Gemeindesteuern die gleiche wie bei der direkten Bundessteuer. Gemäss Art. 10 Abs. 1 Bst. b StHG können als geschäfts- oder berufsmässig begründete Kosten namentlich die Rückstellungen für Verpflichtungen, deren Höhe noch unbestimmt ist, oder für unmittelbar drohende Verlustrisiken, abgezogen werden. Art. 30 Abs. 1 Bst. a und c DStG entspricht Art. 29 Abs. 1 Bst. a und c DBG. Gemäss Art. 9 Abs. 2 Bst. i StHG können die freiwilligen Leistungen von Geld und übrigen Vermögenswerten bis zu dem nach kantonalem Recht bestimmten Ausmass an juristische Personen mit Sitz in der Schweiz, die im Hinblick auf ihre öffentlichen oder gemeinnützigen Zwecke von der Steuerpflicht befreit sind, abgezogen werden. Art. 34a DStG entspricht Art. 33a DBG. Schliesslich sieht Art. 9 Abs. 1 StHG vor, dass von den gesamten steuerbaren Einkünften die zu ihrer Erzielung notwendigen Aufwendungen abgerechnet werden können. Art. 33 Abs. 2 DStG entspricht Art. 32 Abs. 2 DBG. Art. 6 Bst. c der Verordnung vom 21. März 2001 über den Abzug der Kosten bei Privatliegenschaften und der Investitionen, die dem Energiesparen und dem Umweltschutz dienen, sowie der Kosten für die Restaurationsarbeiten an unbeweglichen Kulturgütern (SGF 631.421) entspricht im Übrigen Art. 1 Abs. 2 Bst. c der ESTV-Liegenschaftskostenverordnung. Das bereits zum DBG Ausgeführte ist damit ebenfalls für die kantonalen Steuern massgebend. Damit resultiert für die Staats- und Gemeindesteuern dasselbe Ergebnis wie bei der direkten Bundessteuer. Auch in diesem Punkt wird daher die Beschwerde abgewiesen und der Einspracheentscheid der Kantonalen Steuerverwaltung vom 29. August 2013 bestätigt.</w:t>
      </w:r>
    </w:p>
    <w:p>
      <w:r>
        <w:rPr>
          <w:b/>
        </w:rPr>
        <w:t>E. 7</w:t>
      </w:r>
    </w:p>
    <w:p>
      <w:r>
        <w:t>Dem Ausgang des Verfahrens entsprechend sind die Kosten den Beschwerdeführenden unter solidarischer Haft aufzuerlegen (Art. 144 Abs. 1 DBG; Art. 131 Abs. 1 und 132 Abs. 2 VRG). Es gelangt der Tarif vom 17. Dezember 1991 der Verfahrenskosten und Entschädigungen in der Verwaltungsjustiz (Tarif VJ; SGF 150.12) zur Anwendung (vgl. Art 146-147 VRG), welcher vor- sieht, dass die Verwaltungsjustizgebühr 50 bis 50 000 Franken beträgt (Art. 1 Abs. 1 Tarif VJ) und die Höhe der Gebühr nach dem erforderlichen Zeit- und Arbeitsaufwand, der Wichtigkeit der Angelegenheit und bei vermögensrechtlichen Sachen nach dem betreffenden Streitwert festgesetzt wird (Art. 2 Tarif VJ). Im vorliegenden Fall erscheint es angemessen, die Gerichtsgebühr auf 500 Franken festzusetzen. Der Hof erkennt: I. Direkte Bundessteuer (604 2013 87) 1. Die Beschwerde von A.________ und B.________ wird abgewiesen. Der Einspracheentscheid der Kantonalen Steuerverwaltung vom 29. August 2013 wird bestätigt. 2. Die Kosten (Gebühr: 500 Franken) werden A.________ und B.________ unter solidarischer Haft auferlegt. Diese Gerichtsgebühr wird mit dem geleisteten Kostenvorschuss verrechnet. II. Kantonssteuer (604 201 88)</w:t>
      </w:r>
    </w:p>
    <w:p>
      <w:r>
        <w:t>Kantonsgericht KG Seite 10 von 10 3. Die Beschwerde von A.________ und B.________ wird abgewiesen. Der Einspracheentscheid der Kantonalen Steuerverwaltung vom 29. August 2013 wird bestätigt. 4. Die Kosten (Gebühr: 500 Franken) werden A.________ und B.________ unter solidarischer Haft auferlegt. Diese Gerichtsgebühr wird mit dem geleisteten Kostenvorschuss verrechnet. III. Zustellung Der vorliegende Entscheid kann sowohl bezüglich der veranlagten direkten Bundessteuer (Dispositiv Ziff. I) als auch der Kantonssteuer (Dispositiv Ziff. II) gemäss Art. 146 DBG bzw. 73 StHG und 82 ff. des Bundesgesetzes vom 17. Juni 2005 über das Bundesgericht (BGG; SR 173.110) innert 30 Tagen seit Eröffnung mit einer Beschwerde in öffentlich-rechtlichen Angelegenheiten beim Bundesgericht angefochten werden, wobei die Begehren und Begründungen je der betroffenen Steuer anzupassen sind. Freiburg, 17. März 2015/dbe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