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77 vom 3. Februar 2015</w:t>
      </w:r>
    </w:p>
    <w:p>
      <w:r>
        <w:t>FR Kantonsgericht, 2015-02-03, DE</w:t>
      </w:r>
    </w:p>
    <w:p>
      <w:r>
        <w:rPr>
          <w:b/>
        </w:rPr>
        <w:t xml:space="preserve">Quelle: </w:t>
      </w:r>
      <w:r>
        <w:t>https://mcp.opencaselaw.ch/entscheid/fr_gerichte_604_2013_77</w:t>
      </w:r>
    </w:p>
    <w:p>
      <w:r>
        <w:t>FR: FR_GERICHTE 604 2013 77 du 3 février 2015</w:t>
      </w:r>
    </w:p>
    <w:p>
      <w:r>
        <w:t>IT: FR_GERICHTE 604 2013 77 del 3 febbraio 2015</w:t>
      </w:r>
    </w:p>
    <w:p>
      <w:pPr>
        <w:pStyle w:val="Heading2"/>
      </w:pPr>
      <w:r>
        <w:t>Regeste</w:t>
      </w:r>
    </w:p>
    <w:p>
      <w:r>
        <w:t>Arrêt de la Cour fiscale du Tribunal cantonal | Einkommens- und Vermögenssteuer der natürlichen Personen</w:t>
      </w:r>
    </w:p>
    <w:p>
      <w:pPr>
        <w:pStyle w:val="Heading2"/>
      </w:pPr>
      <w:r>
        <w:t>Erwägungen</w:t>
      </w:r>
    </w:p>
    <w:p>
      <w:r>
        <w:rPr>
          <w:b/>
        </w:rPr>
        <w:t>E. 8</w:t>
      </w:r>
    </w:p>
    <w:p>
      <w:r>
        <w:t>a) Au niveau cantonal également, l'impôt sur le revenu a pour objet tous les revenus du contribuable, qu'ils soient uniques ou périodiques (art. 17 al. 1 LICD et 7 al. 1 LHID) au contraire des gains en capital réalisés lors de l'aliénation d'éléments de la fortune privée qui sont exonérés d’impôt (art. 17 al. 3 LICD et 7 al. 4 let. b LHID). L'art. 19 al. 1 LICD prévoit, quant à lui,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les art. 19 al. 2 LICD et 8 al. 1 LHID, tous les bénéfices en capital provenant de l'aliénation, de la réalisation ou de la réévaluation comptable d'éléments de la fortune commerciale. De même, l’art. 28 al. 2 let. d LICD prévoit que les contribuables exerçant une activité lucrative indépendante peuvent déduire les frais qui sont justifiés par l'usage commercial ou professionnel. En font notamment partie les intérêts des dettes commerciales. Quant à l'art. 35 LICD, il dispose lui aussi que ne peuvent être déduits les frais d’acquisition, de production ou d’amélioration d’éléments de fortune. b) En présence de règles similaires, le raisonnement mené et les conclusions adoptées pour l'impôt fédéral direct (voir consid. 2 à 5) peuvent être transposés en droit cantonal. Partant, le recours formé en droit cantonal est également rejeté.</w:t>
      </w:r>
    </w:p>
    <w:p>
      <w:r>
        <w:rPr>
          <w:b/>
        </w:rPr>
        <w:t>E. 9</w:t>
      </w:r>
    </w:p>
    <w:p>
      <w:r>
        <w:t>a) Conformément à l'art. 131 CPJA, en cas de recours, la partie qui succombe supporte les frais de la procédure. Le montant de l'émolument est fixé compte tenu du temps et du travail Tribunal cantonal TC Page 10 de 10 requis, de l'importance de l'affaire ainsi que, dans les affaires de nature pécuniaire, de la valeur litigieuse en cause (art. 2 Tarif JA). Il peut être compris entre 50 et 50'000 francs (art. 1 Tarif JA). b) En l'espèce, comme pour le recours formé en droit fédéral, compte tenu de l'importance de la valeur litigieuse (revenu déclaré de 76'321 francs mais imposé à hauteur de 489'040 francs), il se justifie de fixer les frais à 4’000 francs. la Cour arrête: I. Impôt fédéral direct (604 2013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