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6 vom 1. April 2011</w:t>
      </w:r>
    </w:p>
    <w:p>
      <w:r>
        <w:t>FR Kantonsgericht, 2011-04-01, FR</w:t>
      </w:r>
    </w:p>
    <w:p>
      <w:r>
        <w:rPr>
          <w:b/>
        </w:rPr>
        <w:t xml:space="preserve">Quelle: </w:t>
      </w:r>
      <w:r>
        <w:t>https://mcp.opencaselaw.ch/entscheid/fr_gerichte_604_2010_6</w:t>
      </w:r>
    </w:p>
    <w:p>
      <w:r>
        <w:t>FR: FR_GERICHTE 604 2010 6 du 1 avril 2011</w:t>
      </w:r>
    </w:p>
    <w:p>
      <w:r>
        <w:t>IT: FR_GERICHTE 604 2010 6 del 1 aprile 2011</w:t>
      </w:r>
    </w:p>
    <w:p>
      <w:pPr>
        <w:pStyle w:val="Heading2"/>
      </w:pPr>
      <w:r>
        <w:t>Regeste</w:t>
      </w:r>
    </w:p>
    <w:p>
      <w:r>
        <w:t>Arrêt de la Cour fiscale du Tribunal cantonal | Einkommens- und Vermögenssteuer der natürlichen Personen</w:t>
      </w:r>
    </w:p>
    <w:p>
      <w:pPr>
        <w:pStyle w:val="Heading2"/>
      </w:pPr>
      <w:r>
        <w:t>Erwägungen</w:t>
      </w:r>
    </w:p>
    <w:p>
      <w:r>
        <w:rPr>
          <w:b/>
        </w:rPr>
        <w:t>E. 5</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10'000 francs (art. 1 Tarif JA). b) En l'espèce, au vu du travail causé et du caractère téméraire de la procédure entamée, il se justifie de fixer les frais à 3'000 francs.</w:t>
      </w:r>
    </w:p>
    <w:p>
      <w:r>
        <w:t>- 12 - l a C o u r a r r ê t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