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98 vom 24. September 2025</w:t>
      </w:r>
    </w:p>
    <w:p>
      <w:r>
        <w:t>FR Kantonsgericht, 2025-09-24, DE</w:t>
      </w:r>
    </w:p>
    <w:p>
      <w:r>
        <w:rPr>
          <w:b/>
        </w:rPr>
        <w:t xml:space="preserve">Quelle: </w:t>
      </w:r>
      <w:r>
        <w:t>https://mcp.opencaselaw.ch/entscheid/fr_gerichte_603_2025_98</w:t>
      </w:r>
    </w:p>
    <w:p>
      <w:r>
        <w:t>FR: FR_GERICHTE 603 2025 98 du 24 septembre 2025</w:t>
      </w:r>
    </w:p>
    <w:p>
      <w:r>
        <w:t>IT: FR_GERICHTE 603 2025 98 del 24 settembre 2025</w:t>
      </w:r>
    </w:p>
    <w:p>
      <w:pPr>
        <w:pStyle w:val="Heading2"/>
      </w:pPr>
      <w:r>
        <w:t>Regeste</w:t>
      </w:r>
    </w:p>
    <w:p>
      <w:r>
        <w:t>Urteil des III. Verwaltungsgerichtshofes des Kantonsgerichts | Beschwerde gegen vorsorgliche Massnahmen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Abs. 1 des kantonalen Gesetzes vom 23. Mai 1991 über die Verwaltungsrechtspflege [VRG; SGF 150.1]). Der Beschwerdeführer ist zur Ergreifung des Rechtsmittels gegen den vorliegenden Zwischenentscheid legitimiert (Art. 76 und Art. 120 Abs. 2 VRG). Die Beschwerdefrist wurde eingehalten (Art. 79 Abs. 2 VRG). Auch wurde der Kostenvor- schuss rechtzeitig bezahlt (Art. 128 VRG). Auf die Beschwerde ist daher einzutreten.</w:t>
      </w:r>
    </w:p>
    <w:p>
      <w:r>
        <w:t>Kantonsgericht KG Seite 3 von 6</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w:t>
      </w:r>
    </w:p>
    <w:p>
      <w:r>
        <w:t>Vorliegend ist streitig und zu prüfen, ob die Vorinstanz dem Beschwerdeführer aufgrund der Polizeianzeige wegen Konsums von Kokain zu Recht den Führerausweis vorsorglich entzogen und ein Fahreignungsgutachten angeordnet hat.</w:t>
      </w:r>
    </w:p>
    <w:p>
      <w:r>
        <w:rPr>
          <w:b/>
        </w:rPr>
        <w:t>E. 3.1</w:t>
      </w:r>
    </w:p>
    <w:p>
      <w:r>
        <w:t>Nach Art. 14 Abs. 1 SVG müssen Motorfahrzeugführer über Fahreignung und Fahrkompe- tenz verfügen. Über Fahreignung verfügt unter anderem, wer frei von einer Sucht ist, die das sichere Führen von Motorfahrzeugen beeinträchtigt (Art. 14 Abs. 2 Bst. c SVG). Bei fehlender Fahreignung ist der Führerausweis gemäss Art. 16d Abs. 1 SVG auf unbestimmte Zeit zu entziehen (sogenannter Sicherungsentzug), namentlich wenn die Person an einer Sucht leidet, welche die Fahreignung ausschliesst (Bst. b), bzw. wenn sie aufgrund ihres bisherigen Verhaltens nicht Gewähr bietet, dass sie künftig beim Führen eines Motorfahrzeuges die Vorschriften beachten und auf die Mitmenschen Rücksicht nehmen wird (Bst. c).</w:t>
      </w:r>
    </w:p>
    <w:p>
      <w:r>
        <w:rPr>
          <w:b/>
        </w:rPr>
        <w:t>E. 3.2</w:t>
      </w:r>
    </w:p>
    <w:p>
      <w:r>
        <w:t>Eine Sucht im Sinne von Art. 16d Abs. 1 Bst. b SVG wird nach der Rechtsprechung bejaht, wenn die Abhängigkeit von einer Droge derart ist, dass die Betroffene mehr als jede andere Person der Gefahr ausgesetzt ist, sich ans Steuer eines Fahrzeugs in einem – dauernden oder zeitweiligen – Zustand zu setzen, der das sichere Führen nicht mehr gewährleistet (BGE 124 II 559 E. 2b mit Hinweisen). Bei Verdacht auf eine Alkohol- oder Betäubungsmittelabhängigkeit im Sinne von Art. 16d Abs. 1 Bst. b SVG wird jedoch rechtsprechungsgemäss nicht zwingend vorausgesetzt, dass die betroffene Person unter dem Einfluss von Betäubungsmitteln gefahren ist oder Betäubungsmittel im Fahrzeug mitgeführt hat (vgl. Urteile BGer 1C_285/2018 vom 12. Oktober 2018 E. 3.2 ff.; 1C_446/2012 vom 26. April 2013 E. 3.2). Im Interesse der Verkehrssicherheit setzt die Rechtspre- chung den regelmässigen Konsum von Drogen der Drogenabhängigkeit gleich, sofern dieser seiner Häufigkeit und Menge nach geeignet ist, die Fahreignung zu beeinträchtigen. Auf fehlende Fahreig- nung darf geschlossen werden, wenn die betroffene Person nicht mehr in der Lage ist, Drogenkon- sum und Strassenverkehr ausreichend zu trennen, oder wenn die naheliegende Gefahr besteht, dass sie im akuten Rauschzustand am motorisierten Strassenverkehr teilnimmt (BGE 127 II 122 E. 3c). Entsprechende Anhaltspunkte ergeben sich etwa aus dem Konsumverhalten der Betroffe- nen, ihrer Vorgeschichte – namentlich hinsichtlich einschlägigen Drogenmissbrauchs im Strassen- verkehr – sowie ihrer Persönlichkeit (vgl. Urteil BGer 1C_384/2017 vom 7. März 2018 E. 2.1 mit Hinweisen).</w:t>
      </w:r>
    </w:p>
    <w:p>
      <w:r>
        <w:rPr>
          <w:b/>
        </w:rPr>
        <w:t>E. 3.3</w:t>
      </w:r>
    </w:p>
    <w:p>
      <w:r>
        <w:t>Eine fehlende Fahreignung aufgrund einer Abhängigkeit ist durch Untersuchungen und Arzt- berichte, in den meisten Fällen jedoch durch ein medizinisches Fachgutachten festzustellen. In diesem Zusammenhang sieht Art. 28a Abs. 1 Bst. a der Verkehrszulassungsverordnung vom 27. Oktober 1976 (VZV; SR 741.51) vor, dass bei Zweifeln an der Fahreignung einer Person eine Fahreignungsuntersuchung durch einen Arzt nach Art. 5abis VZV anzuordnen ist. In den Fällen nach Art. 15d Abs. 1 Bst. b SVG hat der Arzt über eine Anerkennung der Stufe 4 zu verfügen (Art. 28a Abs. 2 Bst. a VZV). Die Prüfung des Einflusses einer Sucht auf die Fahrfähigkeit sowie die Feststellung einer eigentlichen Drogenabhängigkeit erfordern besondere Kenntnisse, die in aller Regel den Beizug von Spezialisten und damit die Anordnung eines medizinischen Gutachtens</w:t>
      </w:r>
    </w:p>
    <w:p>
      <w:r>
        <w:t>Kantonsgericht KG Seite 4 von 6 bedingen. Grundsätzlich ist die Entzugsbehörde daher verpflichtet, ein medizinisches Gutachten zur Frage der Drogensucht einzuholen; der Verzicht auf eine spezialärztliche Begutachtung wird nur ausnahmsweise, etwa in Fällen offensichtlicher, schwerer Drogenabhängigkeit, gerechtfertigt sein (BGE 126 II 185 E. 2a; 120 Ib 305 E. 4b).</w:t>
      </w:r>
    </w:p>
    <w:p>
      <w:r>
        <w:rPr>
          <w:b/>
        </w:rPr>
        <w:t>E. 3.4</w:t>
      </w:r>
    </w:p>
    <w:p>
      <w:r>
        <w:t>Nach der bundesgerichtlichen Rechtsprechung sind die Anforderungen an die Anordnung einer Fahreignungsuntersuchung nicht dieselben wie für den vorsorglichen Führerausweisentzug, obschon diese beiden Massnahmen häufig ohne weitere Differenzierung zusammen ergehen: Während für Erstere hinreichende Anhaltspunkte ausreichen, welche die Fahreignung in Frage stel- len, setzt der vorsorgliche Führerausweisentzug voraus, dass ernsthafte Zweifel an der Fahreignung einer Person bestehen (siehe Urteile BGer 1C_285/2018 vom 12. Oktober 2018 E. 3; 1C_384/2017 vom 7. März 2018 E. 2.2; 1C_531/2016 vom 22. Februar 2017 E. 2.4.2 mit Hinweisen). Demnach ist, wenn ernsthafte Zweifel an der Fahreignung vorliegen, neben der Anordnung der entsprechenden Untersuchung der Führerausweis bereits vorsorglich zu entziehen (vgl. Art. 30 Abs. 1 VZV; BGE 141 II 220 E. 3.1.1). In diesem Fall ist es unter dem Gesichtspunkt der Verkehrssi- cherheit grundsätzlich nicht zu verantworten, dem Betroffenen den Führerausweis bis zum Vorliegen des Untersuchungsergebnisses zu belassen (Urteile BGer 1C_76/2017 vom 19. Mai 2017 E. 5; 1C_298/2020 vom 1. Februar 2021 E. 3.1). Der strikte Beweis für eine den Sicherungsentzug rechtfertigende fehlende Fahreignung ist im Verfahren des vorsorglichen Sicherungsentzuges jedoch noch nicht erforderlich; wäre dieser erbracht, müsste unmittelbar der Sicherungsentzug selbst verfügt werden (BGE 125 II 492 E. 2b; Urteil BGer 1C_658/2015 vom 20. Juni 2016 E. 2 mit Hinweisen).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(BGE 141 II 220 E. 3.1.1; Urteil BGer 1C_339/2016 vom 7. November 2016 E. 3.1).</w:t>
      </w:r>
    </w:p>
    <w:p>
      <w:r>
        <w:rPr>
          <w:b/>
        </w:rPr>
        <w:t>E. 3.5</w:t>
      </w:r>
    </w:p>
    <w:p>
      <w:r>
        <w:t>Da namentlich der Konsum von Kokain rasch zu einer ausgeprägten psychischen Abhängigkeit führt, kann eine gerichtsmedizinische Begutachtung der Fahreignung bzw. ein vorsorglicher Entzug des Führerausweises bereits bei gelegentlichem Kokainkonsum angezeigt sein, auch wenn daraus nicht zwingend auf eine Abhängigkeit geschlossen werden kann (vgl. BGE 120 Ib 305 E. 4c und d; Urteil BGer 1C_431/2024, 1C_432/2024 vom 29. Juli 2024 E. 2). Ein vorsorglicher Ausweisentzug im Zusammenhang mit Betäubungsmittelkonsum ausserhalb des Strassenverkehrs wurde etwa bejaht bei einem 28-Jährigen, der seit seinem 16. Lebensjahr regel- mässig Cannabis und in den letzten Jahren gelegentlich Kokain konsumiert hatte (Urteil BGer 6A.56/2000 vom 28. Juni 2000), bei einem gelegentlichen Kokainkonsum an festlichen Anlässen (Urteil BGer 1C_282/2007 vom 13. Februar 2008), bei der polizeilichen Beschlagnahme grösserer Mengen Betäubungsmittel, die dem Eigenkonsum des Betroffenen dienten und dem der Führeraus- weis zuvor wegen Drogensucht entzogen war (Urteil BGer 1C_328/2013 vom 18. September 2013), bei einer mitgeführten Menge von 47.4 g Amphetamin, die auf einen regelmässigen Konsum hindeu- tet (Urteil BGer 1C_285/2018 vom 12. Oktober 2018), bei einem wegen Verstoss gegen das Betäu- bungsmittelgesetz als Beschuldigter Einvernommenen, der gestand, in einem Zeitraum von rund eineinhalb Jahren 25-mal Kokain in nicht unerheblichen Mengen konsumiert zu haben (Urteil BGer 1C_434/2016 vom 1. Februar 2017), ebenso bei einer mittlerweile alkoholabstinenten Person, welcher der Führerausweis bereits mehrmals wegen Trunkenheitsfahren entzogen wurde und die nun eine Drogenproblematik (Cannabiskonsum) entwickelt hatte (Urteil BGer 1C_403/2019 vom 22. November 2019). Hingegen wurde der vorsorgliche Entzug etwa verneint bei einem einmaligen bzw. zugestandenen Kokainkonsum (Urteile BGer 1C_20/2012 vom 18. April 2012; 6A.72/2006 vom</w:t>
      </w:r>
    </w:p>
    <w:p>
      <w:r>
        <w:t>Kantonsgericht KG Seite 5 von 6</w:t>
      </w:r>
    </w:p>
    <w:p>
      <w:r>
        <w:rPr>
          <w:b/>
        </w:rPr>
        <w:t>E. 7</w:t>
      </w:r>
    </w:p>
    <w:p>
      <w:r>
        <w:t>Die Gerichtskosten, die auf CHF 800.- festgelegt werden, sind dem Verfahrensausgang entspre- chend dem Beschwerdeführer aufzuerlegen und mit dem geleisteten Kostenvorschuss zu verrech- nen (Art. 131 VRG; Art. 1 und 2 des kantonalen Tarifs vom 17. Dezember 1991 der Verfahrenskos- ten und Entschädigungen in der Verwaltungsjustiz [Tarif VJ; SGF 150.12]). Es besteht kein Anspruch auf Parteientschädigung (Art. 137 und 139 VRG). Der Hof erkennt: I. Die Beschwerde (603 2025 98) wird abgewiesen. II. Das Gesuch um Wiederherstellung der aufschiebenden Wirkung (603 2025 99) wird als gegenstandslos abgeschrieben. III. Die Gerichtskosten von CHF 800.- werden dem Beschwerdeführer auferlegt und mit dem von ihm geleisteten Kostenvorschuss verrechnet. IV. Zustellung. Gegen diesen Entscheid kann innert 30 Tagen ab Zustellung Beschwerde beim Bundesgericht eingereicht werden. Freiburg, 24. September 2025/dgr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