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2025 3 vom 11. März 2025</w:t>
      </w:r>
    </w:p>
    <w:p>
      <w:r>
        <w:t>FR Kantonsgericht, 2025-03-11, FR</w:t>
      </w:r>
    </w:p>
    <w:p>
      <w:r>
        <w:rPr>
          <w:b/>
        </w:rPr>
        <w:t xml:space="preserve">Quelle: </w:t>
      </w:r>
      <w:r>
        <w:t>https://mcp.opencaselaw.ch/entscheid/fr_gerichte_603_2025_3</w:t>
      </w:r>
    </w:p>
    <w:p>
      <w:r>
        <w:t>FR: FR_GERICHTE 603 2025 3 du 11 mars 2025</w:t>
      </w:r>
    </w:p>
    <w:p>
      <w:r>
        <w:t>IT: FR_GERICHTE 603 2025 3 del 11 marzo 2025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Vu le sort du recours, les frais de procédure, arrêtés à CHF 800.-, sont mis à la charge du recourant (art. 131 al. 1 CPJA). Ils seront compensés avec l'avance de frais versée. Il n'est pas alloué d'indemnité de partie au recourant qui succombe (art. 137 al. 1 CPJA a contrario) et qui n'est pas représenté. (dispositif en page suivante)</w:t>
      </w:r>
    </w:p>
    <w:p>
      <w:r>
        <w:t>Tribunal cantonal TC Page 6 de 6 la Cour arrête : I. Le recours (603 2025 3) est rejeté. Partant, la décision de l'Office de la circulation routière et de la navigation du 8 janvier 2025 est confirmée. II. La requête de restitution de l'effet suspensif (603 2025 4) est sans objet. III. Les frais de procédure, arrêtés à CHF 800.-, sont mis à la charge de A.________. Ils sont compensés avec l'avance de frais versée. IV. Notification. Cette décision peut faire l'objet d'un recours auprès du Tribunal fédéral, à Lausanne, dans les 30 jours dès sa notification. La fixation du montant des frais de procédure peut, dans un délai de 30 jours, faire l'objet d'une réclamation auprès de l'autorité qui a statué, lorsque seule cette partie de la décision est contestée (art. 148 CPJA). Fribourg, le 11 mars 2025/pta La Présidente Le Greffier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