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180 vom 19. Januar 2026</w:t>
      </w:r>
    </w:p>
    <w:p>
      <w:r>
        <w:t>FR Kantonsgericht, 2026-01-19, FR</w:t>
      </w:r>
    </w:p>
    <w:p>
      <w:r>
        <w:rPr>
          <w:b/>
        </w:rPr>
        <w:t xml:space="preserve">Quelle: </w:t>
      </w:r>
      <w:r>
        <w:t>https://mcp.opencaselaw.ch/entscheid/fr_gerichte_603_2025_180</w:t>
      </w:r>
    </w:p>
    <w:p>
      <w:r>
        <w:t>FR: FR_GERICHTE 603 2025 180 du 19 janvier 2026</w:t>
      </w:r>
    </w:p>
    <w:p>
      <w:r>
        <w:t>IT: FR_GERICHTE 603 2025 180 del 19 gennaio 2026</w:t>
      </w:r>
    </w:p>
    <w:p>
      <w:pPr>
        <w:pStyle w:val="Heading2"/>
      </w:pPr>
      <w:r>
        <w:t>Regeste</w:t>
      </w:r>
    </w:p>
    <w:p>
      <w:r>
        <w:t>Arrêt de la IIIe Cour administrative du Tribunal cantonal | Strassenverkehr und Transportwesen</w:t>
      </w:r>
    </w:p>
    <w:p>
      <w:pPr>
        <w:pStyle w:val="Heading2"/>
      </w:pPr>
      <w:r>
        <w:t>Erwägungen</w:t>
      </w:r>
    </w:p>
    <w:p>
      <w:r>
        <w:rPr>
          <w:b/>
        </w:rPr>
        <w:t>E. 9</w:t>
      </w:r>
    </w:p>
    <w:p>
      <w:r>
        <w:t>mars 2025, soit environ un mois avant l’incident, ce qui aurait affecté son état émotionnel. Le recourant reproche encore à l’autorité intimée de l’avoir qualifié de conducteur incorrigible, sans qu’aucune expertise n’ait été diligentée à cet effet. Il souligne n’avoir commis aucune infraction depuis plusieurs années, le dernier retrait de permis ayant expiré quatre ans et neuf mois avant les faits litigieux. Il se prévaut ainsi d’une période de stabilité et produit un certificat attestant de son aptitude à la conduite. Il fait enfin valoir que le retrait prononcé le priverait de la possibilité d’exercer son activité professionnelle. Par ailleurs, il sollicite la restitution de l’effet suspensif à son recours (603 2025 181). E. Le 19 décembre 2025, l'OCN conclut au rejet du recours. Il fait valoir que l’accouplement d’un véhicule lourd avec sa remorque présente un risque élevé d’accident grave, voire mortel, raison pour laquelle cette manœuvre exige une attention toute particulière et le respect strict d’une procédure</w:t>
      </w:r>
    </w:p>
    <w:p>
      <w:r>
        <w:t>Tribunal cantonal TC Page 4 de 11 systématique, que le recourant ne pouvait ignorer en sa qualité de chauffeur professionnel de poids lourds. Dans ces circonstances, l’autorité intimée soutient qu’on ne saurait qualifier de faute particulièrement légère l’oubli d’actionner le frein de stationnement par un chauffeur poids lourd s’apprêtant à quitter sa cabine. Empêcher la mise en mouvement fortuite d’un tel véhicule revêt une importance prioritaire, ce qui justifie, selon elle, une qualification au minimum moyennement grave de l’infraction. L’OCN relève en outre que la mise en danger est établie, puisqu’elle a conduit à un accident ayant causé de graves blessures au recourant. Le fait qu’aucun collègue n’ait été touché par l’événement apparaît comme purement fortuit, ceux-ci se trouvant encore sur le site de l’entreprise au moment des faits. Quant à la courte distance parcourue par le véhicule, mesurée en mètres, elle ne saurait relativiser la mise en danger inhérente à ce type d’accident, le véhicule s’étant suffisamment déplacé pour atteindre une vitesse équivalente à celle du pas. Enfin, l’autorité intimée relève que le recourant est, au sens de la loi, considéré comme un conducteur incorrigible, celui-ci ayant déjà fait l’objet d’une mesure de retrait de sécurité du permis de conduire, prononcée en application de l’art. 16c al. 2 let. d LCR le 10 janvier 2018, mesure qui a été révoquée le</w:t>
      </w:r>
    </w:p>
    <w:p>
      <w:r>
        <w:rPr>
          <w:b/>
        </w:rPr>
        <w:t>E. 10</w:t>
      </w:r>
    </w:p>
    <w:p>
      <w:r>
        <w:t>janvier 2018 en remplacement d’un retrait d’admonestation pour faute grave. Cette mesure a été révoquée le 10 juillet 2020, soit moins de cinq ans avant la commission de l’infraction litigieuse du 8 avril 2025. L’infraction actuelle – qualifiée de moyennement grave – entraîne dès lors, en application de l’art. 16b al. 2 let. f LCR, le retrait définitif du permis de conduire du recourant. Aucune mesure plus favorable ne pouvait être envisagée, le texte clair de cette disposition consacrant une présomption irréfragable d’inaptitude caractérielle à la conduite (conducteur dit "incorrigible") lorsque, dans les cinq ans suivant la fin d’un retrait de durée indéterminée au sens des art. 16b al. 2 let. e ou 16c al. 2 let. d LCR, l’intéressé commet une nouvelle infraction qualifiée au moins de moyennement grave (cf. arrêts TF 6A.4/2004 du 22 mars 2004 consid. 3.3; TC FR 603 2025 138 du 2 décembre 2025 consid. 6.3; 603 2018 126 du 8 novembre 2018). Le recourant se méprend ainsi manifestement sur la portée et la teneur de la notion de "conducteur incorrigible", laquelle découle directement de la loi et ne laisse place à aucune marge d’appréciation pour l’autorité. D'ailleurs, on peine à comprendre pourquoi le recourant attache tant d'importance à cette terminologie. Il semble en effet oublier que la durée minimale du retrait dépend avant tout de la qualification de l'infraction retenue et de l'application du système de cascade, et non d'une formulation employée par l'OCN dans sa décision. Dans ce contexte, il importe également peu que l’infraction ait été commise quatre ans et neuf mois après la fin de la précédente mesure. Là encore, l’autorité ne dispose d’aucune latitude dans la fixation du délai d’épreuve de cinq ans, celui-ci résultant directement de la loi. Le fait que le recourant se soit soumis à des expertises médicales et psychologiques afin d’attester de sa capacité à conduire n’y change rien. Comme exposé ci-dessus, la loi institue une présomption irréfragable d’inaptitude caractérielle à la conduite, de sorte qu’aucun certificat médical ne saurait la remettre en cause. Comme l’a rappelé à plusieurs reprises la Cour de céans, encore récemment (cf. arrêt TC FR 603 2025 138 du 2 décembre 2025 consid. 6.3), de telles expertises ne sont pas de nature à neutraliser la présomption légale instituée par l’art. 16b al. 2 let. f LCR. Par la commission d’une nouvelle infraction moyennement grave le 8 avril 2025, le recourant a démontré qu’il n’était pas en mesure de respecter durablement les règles élémentaires de la circulation routière, confirmant ainsi son inaptitude caractérielle au sens de la loi. Par ailleurs, l’OCN s’est limité à appliquer la durée minimale de cinq ans prévue par la loi, laquelle ne peut, en vertu de l’art. 17 al. 1 LCR, faire l’objet d’aucune réduction. En particulier, même un besoin avéré du permis de conduire pour des motifs professionnels ne permet pas de déroger à la règle de l’art. 16 al. 3 in fine LCR, qui confère un caractère incompressible aux durées minimales de retrait prévues par la loi (cf. ATF 132 II 234 consid. 2.3). Il n’est pas davantage possible de s’écarter du délai d’attente de cinq ans résultant de l’art. 16b al. 2 let. f LCR (cf. ATF 124 II 71 consid. 2; arrêt TF 1C_509/2015 du 14 octobre 2015).</w:t>
      </w:r>
    </w:p>
    <w:p>
      <w:r>
        <w:t>Tribunal cantonal TC Page 10 de 11 La Cour est consciente des conséquences importantes que cette mesure entraîne pour le recourant, en particulier du fait qu’elle le rend inapte à exercer son activité professionnelle et qu’à l’issue de la durée minimale de cinq ans, il devra notamment se soumettre à un nouvel examen de conduite. Compte tenu de ses antécédents défavorables et du fait qu’il se trouvait déjà dans un délai d’épreuve particulièrement strict, il devait s’attendre à ce que la commission d’une nouvelle infraction qualifiée de moyennement grave entraîne un retrait définitif du permis de conduire. 6.3. Par conséquent, c’est à juste titre que l’autorité intimée a appliqué l’art. 16b al. 2 let. f LCR, nonobstant la sévérité perçue de la mesure. 7. 7.1. Pour l'ensemble des motifs qui précèdent, le recours (603 2025 180) doit être rejeté. L'affaire étant jugée au fond, la requête tendant à la restitution de l'effet suspensif (603 2025 181) est sans objet et rayée du rôle. 7.2. Compte tenu de l’issue du litige, les frais de procédure, arrêtés à CHF 800.-, sont mis à la charge du recourant (art. 131 CPJA). Ils sont compensés par l’avance de frais du même montant, versée le 9 octobre 2025. Pour les mêmes raisons, il n'y a pas lieu d'allouer d'indemnité de partie (art. 137 CPJA a contrario). (dispositif en page suivante)</w:t>
      </w:r>
    </w:p>
    <w:p>
      <w:r>
        <w:t>Tribunal cantonal TC Page 11 de 11 la Cour arrête : I. Le recours (603 2025 180) est rejeté. II. La requête de restitution de l'effet suspensif (603 2025 181) est sans objet et rayée du rôle. III. Des frais de procédure de CHF 800.- sont mis à la charge du recourant. Ils sont compensés par l'avance de frais de même montant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janvier 2026/jud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